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61785" w:rsidRPr="00056610" w:rsidRDefault="00056610" w:rsidP="00056610">
      <w:pPr>
        <w:snapToGrid w:val="0"/>
        <w:spacing w:beforeLines="600" w:before="1872" w:after="312"/>
        <w:jc w:val="center"/>
        <w:rPr>
          <w:rFonts w:eastAsia="黑体"/>
          <w:b/>
          <w:kern w:val="2"/>
          <w:sz w:val="48"/>
          <w:szCs w:val="48"/>
        </w:rPr>
      </w:pPr>
      <w:r w:rsidRPr="00056610">
        <w:rPr>
          <w:rFonts w:eastAsia="黑体"/>
          <w:b/>
          <w:kern w:val="2"/>
          <w:sz w:val="48"/>
          <w:szCs w:val="48"/>
        </w:rPr>
        <w:t>大学生创新训练项目申请书</w:t>
      </w:r>
    </w:p>
    <w:p w:rsidR="00961785" w:rsidRDefault="00961785">
      <w:pPr>
        <w:spacing w:line="620" w:lineRule="exact"/>
        <w:jc w:val="center"/>
        <w:rPr>
          <w:b/>
          <w:bCs/>
          <w:color w:val="000000"/>
          <w:sz w:val="44"/>
          <w:szCs w:val="44"/>
        </w:rPr>
      </w:pPr>
    </w:p>
    <w:p w:rsidR="00961785" w:rsidRDefault="00961785">
      <w:pPr>
        <w:ind w:firstLineChars="200" w:firstLine="580"/>
        <w:rPr>
          <w:color w:val="000000"/>
          <w:sz w:val="29"/>
        </w:rPr>
      </w:pPr>
    </w:p>
    <w:p w:rsidR="00961785" w:rsidRDefault="00056610" w:rsidP="00056610">
      <w:pPr>
        <w:tabs>
          <w:tab w:val="left" w:pos="8035"/>
        </w:tabs>
        <w:spacing w:line="760" w:lineRule="exact"/>
        <w:ind w:rightChars="310" w:right="651" w:firstLineChars="200" w:firstLine="600"/>
        <w:rPr>
          <w:rFonts w:eastAsia="黑体"/>
          <w:color w:val="000000"/>
          <w:sz w:val="30"/>
          <w:szCs w:val="30"/>
          <w:u w:val="single"/>
        </w:rPr>
      </w:pPr>
      <w:r>
        <w:rPr>
          <w:rFonts w:eastAsia="黑体"/>
          <w:color w:val="000000"/>
          <w:sz w:val="30"/>
          <w:szCs w:val="30"/>
        </w:rPr>
        <w:t>项目编号</w:t>
      </w:r>
      <w:r>
        <w:rPr>
          <w:rFonts w:eastAsia="黑体"/>
          <w:color w:val="000000"/>
          <w:sz w:val="30"/>
          <w:szCs w:val="30"/>
          <w:u w:val="single"/>
        </w:rPr>
        <w:t xml:space="preserve">            </w:t>
      </w:r>
      <w:r w:rsidR="00972AE8" w:rsidRPr="00972AE8">
        <w:rPr>
          <w:rFonts w:eastAsia="黑体"/>
          <w:color w:val="000000"/>
          <w:sz w:val="30"/>
          <w:szCs w:val="30"/>
          <w:u w:val="single"/>
        </w:rPr>
        <w:t>S201910530044</w:t>
      </w:r>
      <w:r>
        <w:rPr>
          <w:rFonts w:eastAsia="黑体"/>
          <w:color w:val="000000"/>
          <w:sz w:val="30"/>
          <w:szCs w:val="30"/>
          <w:u w:val="single"/>
        </w:rPr>
        <w:t xml:space="preserve">               </w:t>
      </w:r>
    </w:p>
    <w:p w:rsidR="00961785" w:rsidRDefault="00056610" w:rsidP="00056610">
      <w:pPr>
        <w:tabs>
          <w:tab w:val="left" w:pos="8035"/>
        </w:tabs>
        <w:spacing w:line="760" w:lineRule="exact"/>
        <w:ind w:leftChars="200" w:left="420" w:rightChars="310" w:right="651" w:firstLineChars="50" w:firstLine="150"/>
        <w:rPr>
          <w:rFonts w:eastAsia="黑体"/>
          <w:color w:val="000000"/>
          <w:sz w:val="28"/>
          <w:szCs w:val="28"/>
          <w:u w:val="single"/>
        </w:rPr>
      </w:pPr>
      <w:r>
        <w:rPr>
          <w:rFonts w:eastAsia="黑体"/>
          <w:color w:val="000000"/>
          <w:sz w:val="30"/>
          <w:szCs w:val="30"/>
        </w:rPr>
        <w:t>项目名称</w:t>
      </w:r>
      <w:r>
        <w:rPr>
          <w:rFonts w:eastAsia="黑体"/>
          <w:color w:val="000000"/>
          <w:sz w:val="30"/>
          <w:szCs w:val="30"/>
          <w:u w:val="single"/>
        </w:rPr>
        <w:t xml:space="preserve"> </w:t>
      </w:r>
      <w:r w:rsidRPr="00056610">
        <w:rPr>
          <w:rFonts w:eastAsia="黑体"/>
          <w:b/>
          <w:color w:val="000000"/>
          <w:sz w:val="30"/>
          <w:szCs w:val="30"/>
          <w:u w:val="single"/>
        </w:rPr>
        <w:t>高暴露</w:t>
      </w:r>
      <w:r w:rsidRPr="00056610">
        <w:rPr>
          <w:rFonts w:eastAsia="黑体"/>
          <w:color w:val="000000"/>
          <w:sz w:val="30"/>
          <w:szCs w:val="30"/>
          <w:u w:val="single"/>
        </w:rPr>
        <w:t>Rim-Edge</w:t>
      </w:r>
      <w:r w:rsidRPr="00056610">
        <w:rPr>
          <w:rFonts w:eastAsia="黑体"/>
          <w:b/>
          <w:color w:val="000000"/>
          <w:sz w:val="30"/>
          <w:szCs w:val="30"/>
          <w:u w:val="single"/>
        </w:rPr>
        <w:t>位</w:t>
      </w:r>
      <w:r w:rsidRPr="00056610">
        <w:rPr>
          <w:rFonts w:eastAsia="黑体"/>
          <w:color w:val="000000"/>
          <w:sz w:val="30"/>
          <w:szCs w:val="30"/>
          <w:u w:val="single"/>
        </w:rPr>
        <w:t>MoS</w:t>
      </w:r>
      <w:r w:rsidRPr="00056610">
        <w:rPr>
          <w:rFonts w:eastAsia="黑体"/>
          <w:color w:val="000000"/>
          <w:sz w:val="30"/>
          <w:szCs w:val="30"/>
          <w:u w:val="single"/>
          <w:vertAlign w:val="subscript"/>
        </w:rPr>
        <w:t>2</w:t>
      </w:r>
      <w:r w:rsidRPr="00056610">
        <w:rPr>
          <w:rFonts w:eastAsia="黑体"/>
          <w:b/>
          <w:color w:val="000000"/>
          <w:sz w:val="30"/>
          <w:szCs w:val="30"/>
          <w:u w:val="single"/>
        </w:rPr>
        <w:t>的制备及其催化</w:t>
      </w:r>
      <w:r>
        <w:rPr>
          <w:rFonts w:eastAsia="黑体" w:hint="eastAsia"/>
          <w:color w:val="000000"/>
          <w:sz w:val="28"/>
          <w:szCs w:val="28"/>
          <w:u w:val="single"/>
        </w:rPr>
        <w:t xml:space="preserve">          </w:t>
      </w:r>
    </w:p>
    <w:p w:rsidR="00961785" w:rsidRPr="00056610" w:rsidRDefault="00056610" w:rsidP="00056610">
      <w:pPr>
        <w:tabs>
          <w:tab w:val="left" w:pos="8035"/>
        </w:tabs>
        <w:spacing w:line="760" w:lineRule="exact"/>
        <w:ind w:leftChars="200" w:left="420" w:rightChars="310" w:right="651" w:firstLineChars="490" w:firstLine="1372"/>
        <w:rPr>
          <w:rFonts w:eastAsia="黑体"/>
          <w:b/>
          <w:color w:val="000000"/>
          <w:sz w:val="30"/>
          <w:szCs w:val="30"/>
          <w:u w:val="single"/>
        </w:rPr>
      </w:pPr>
      <w:r w:rsidRPr="00056610">
        <w:rPr>
          <w:rFonts w:eastAsia="黑体" w:hint="eastAsia"/>
          <w:color w:val="000000"/>
          <w:sz w:val="28"/>
          <w:szCs w:val="28"/>
          <w:u w:val="single"/>
        </w:rPr>
        <w:t xml:space="preserve"> </w:t>
      </w:r>
      <w:r w:rsidRPr="00056610">
        <w:rPr>
          <w:rFonts w:eastAsia="黑体"/>
          <w:b/>
          <w:color w:val="000000"/>
          <w:sz w:val="30"/>
          <w:szCs w:val="30"/>
          <w:u w:val="single"/>
        </w:rPr>
        <w:t>生物油中酚类化合物加氢脱氧性能研究</w:t>
      </w:r>
      <w:r w:rsidRPr="00056610">
        <w:rPr>
          <w:rFonts w:eastAsia="黑体"/>
          <w:b/>
          <w:color w:val="000000"/>
          <w:sz w:val="30"/>
          <w:szCs w:val="30"/>
          <w:u w:val="single"/>
        </w:rPr>
        <w:t xml:space="preserve">   </w:t>
      </w:r>
      <w:r w:rsidRPr="00056610">
        <w:rPr>
          <w:rFonts w:eastAsia="黑体" w:hint="eastAsia"/>
          <w:b/>
          <w:color w:val="000000"/>
          <w:sz w:val="30"/>
          <w:szCs w:val="30"/>
          <w:u w:val="single"/>
        </w:rPr>
        <w:t xml:space="preserve">         </w:t>
      </w:r>
      <w:r w:rsidRPr="00056610">
        <w:rPr>
          <w:rFonts w:eastAsia="黑体"/>
          <w:b/>
          <w:color w:val="000000"/>
          <w:sz w:val="30"/>
          <w:szCs w:val="30"/>
          <w:u w:val="single"/>
        </w:rPr>
        <w:t xml:space="preserve"> </w:t>
      </w:r>
    </w:p>
    <w:p w:rsidR="00961785" w:rsidRDefault="00056610" w:rsidP="00056610">
      <w:pPr>
        <w:tabs>
          <w:tab w:val="left" w:pos="8035"/>
        </w:tabs>
        <w:spacing w:line="760" w:lineRule="exact"/>
        <w:ind w:rightChars="310" w:right="651" w:firstLineChars="200" w:firstLine="600"/>
        <w:rPr>
          <w:rFonts w:eastAsia="黑体"/>
          <w:b/>
          <w:color w:val="000000"/>
          <w:sz w:val="30"/>
          <w:szCs w:val="30"/>
          <w:u w:val="single"/>
        </w:rPr>
      </w:pPr>
      <w:r>
        <w:rPr>
          <w:rFonts w:eastAsia="黑体"/>
          <w:color w:val="000000"/>
          <w:sz w:val="30"/>
          <w:szCs w:val="30"/>
        </w:rPr>
        <w:t>项目负责人</w:t>
      </w:r>
      <w:r>
        <w:rPr>
          <w:rFonts w:eastAsia="黑体"/>
          <w:color w:val="000000"/>
          <w:sz w:val="30"/>
          <w:szCs w:val="30"/>
          <w:u w:val="single"/>
        </w:rPr>
        <w:t xml:space="preserve"> </w:t>
      </w:r>
      <w:r>
        <w:rPr>
          <w:rFonts w:eastAsia="黑体" w:hint="eastAsia"/>
          <w:color w:val="000000"/>
          <w:sz w:val="30"/>
          <w:szCs w:val="30"/>
          <w:u w:val="single"/>
        </w:rPr>
        <w:t xml:space="preserve"> </w:t>
      </w:r>
      <w:r w:rsidRPr="00056610">
        <w:rPr>
          <w:rFonts w:eastAsia="黑体"/>
          <w:b/>
          <w:color w:val="000000"/>
          <w:sz w:val="30"/>
          <w:szCs w:val="30"/>
          <w:u w:val="single"/>
        </w:rPr>
        <w:t xml:space="preserve"> </w:t>
      </w:r>
      <w:r w:rsidRPr="00056610">
        <w:rPr>
          <w:rFonts w:eastAsia="黑体"/>
          <w:b/>
          <w:color w:val="000000"/>
          <w:sz w:val="30"/>
          <w:szCs w:val="30"/>
          <w:u w:val="single"/>
        </w:rPr>
        <w:t>史茜茜</w:t>
      </w:r>
      <w:r>
        <w:rPr>
          <w:rFonts w:eastAsia="黑体"/>
          <w:color w:val="000000"/>
          <w:sz w:val="30"/>
          <w:szCs w:val="30"/>
          <w:u w:val="single"/>
        </w:rPr>
        <w:t xml:space="preserve">  </w:t>
      </w:r>
      <w:r w:rsidRPr="00056610">
        <w:rPr>
          <w:rFonts w:eastAsia="黑体"/>
          <w:color w:val="000000"/>
          <w:sz w:val="30"/>
          <w:szCs w:val="30"/>
          <w:u w:val="single"/>
        </w:rPr>
        <w:t xml:space="preserve"> </w:t>
      </w:r>
      <w:r>
        <w:rPr>
          <w:rFonts w:eastAsia="黑体"/>
          <w:color w:val="000000"/>
          <w:sz w:val="30"/>
          <w:szCs w:val="30"/>
        </w:rPr>
        <w:t>联系电话</w:t>
      </w:r>
      <w:r w:rsidRPr="00056610">
        <w:rPr>
          <w:rFonts w:eastAsia="黑体"/>
          <w:color w:val="000000"/>
          <w:sz w:val="48"/>
          <w:szCs w:val="30"/>
          <w:u w:val="single"/>
        </w:rPr>
        <w:t xml:space="preserve"> </w:t>
      </w:r>
    </w:p>
    <w:p w:rsidR="00961785" w:rsidRDefault="00056610" w:rsidP="00056610">
      <w:pPr>
        <w:tabs>
          <w:tab w:val="left" w:pos="8035"/>
        </w:tabs>
        <w:spacing w:line="760" w:lineRule="exact"/>
        <w:ind w:rightChars="310" w:right="651" w:firstLineChars="200" w:firstLine="600"/>
        <w:rPr>
          <w:rFonts w:eastAsia="黑体"/>
          <w:color w:val="000000"/>
          <w:sz w:val="30"/>
          <w:szCs w:val="30"/>
          <w:u w:val="single"/>
        </w:rPr>
      </w:pPr>
      <w:r>
        <w:rPr>
          <w:rFonts w:eastAsia="黑体"/>
          <w:color w:val="000000"/>
          <w:sz w:val="30"/>
          <w:szCs w:val="30"/>
        </w:rPr>
        <w:t>所在学院</w:t>
      </w:r>
      <w:r>
        <w:rPr>
          <w:rFonts w:eastAsia="黑体"/>
          <w:color w:val="000000"/>
          <w:sz w:val="30"/>
          <w:szCs w:val="30"/>
          <w:u w:val="single"/>
        </w:rPr>
        <w:t xml:space="preserve">       </w:t>
      </w:r>
      <w:r w:rsidRPr="00056610">
        <w:rPr>
          <w:rFonts w:eastAsia="黑体"/>
          <w:color w:val="000000"/>
          <w:sz w:val="20"/>
          <w:szCs w:val="30"/>
          <w:u w:val="single"/>
        </w:rPr>
        <w:t xml:space="preserve"> </w:t>
      </w:r>
      <w:r w:rsidRPr="00056610">
        <w:rPr>
          <w:rFonts w:eastAsia="黑体" w:hint="eastAsia"/>
          <w:color w:val="000000"/>
          <w:sz w:val="20"/>
          <w:szCs w:val="30"/>
          <w:u w:val="single"/>
        </w:rPr>
        <w:t xml:space="preserve"> </w:t>
      </w:r>
      <w:r w:rsidRPr="00056610">
        <w:rPr>
          <w:rFonts w:eastAsia="黑体" w:hint="eastAsia"/>
          <w:color w:val="000000"/>
          <w:sz w:val="24"/>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w:t>
      </w:r>
      <w:r w:rsidRPr="00056610">
        <w:rPr>
          <w:rFonts w:eastAsia="黑体"/>
          <w:b/>
          <w:color w:val="000000"/>
          <w:sz w:val="30"/>
          <w:szCs w:val="30"/>
          <w:u w:val="single"/>
        </w:rPr>
        <w:t>化</w:t>
      </w:r>
      <w:r w:rsidRPr="00056610">
        <w:rPr>
          <w:rFonts w:eastAsia="黑体"/>
          <w:b/>
          <w:color w:val="000000"/>
          <w:sz w:val="30"/>
          <w:szCs w:val="30"/>
          <w:u w:val="single"/>
        </w:rPr>
        <w:t xml:space="preserve"> </w:t>
      </w:r>
      <w:r w:rsidRPr="00056610">
        <w:rPr>
          <w:rFonts w:eastAsia="黑体"/>
          <w:b/>
          <w:color w:val="000000"/>
          <w:sz w:val="30"/>
          <w:szCs w:val="30"/>
          <w:u w:val="single"/>
        </w:rPr>
        <w:t>工</w:t>
      </w:r>
      <w:r w:rsidRPr="00056610">
        <w:rPr>
          <w:rFonts w:eastAsia="黑体"/>
          <w:b/>
          <w:color w:val="000000"/>
          <w:sz w:val="30"/>
          <w:szCs w:val="30"/>
          <w:u w:val="single"/>
        </w:rPr>
        <w:t xml:space="preserve"> </w:t>
      </w:r>
      <w:r w:rsidRPr="00056610">
        <w:rPr>
          <w:rFonts w:eastAsia="黑体"/>
          <w:b/>
          <w:color w:val="000000"/>
          <w:sz w:val="30"/>
          <w:szCs w:val="30"/>
          <w:u w:val="single"/>
        </w:rPr>
        <w:t>学</w:t>
      </w:r>
      <w:r w:rsidRPr="00056610">
        <w:rPr>
          <w:rFonts w:eastAsia="黑体" w:hint="eastAsia"/>
          <w:b/>
          <w:color w:val="000000"/>
          <w:sz w:val="30"/>
          <w:szCs w:val="30"/>
          <w:u w:val="single"/>
        </w:rPr>
        <w:t xml:space="preserve"> </w:t>
      </w:r>
      <w:r w:rsidRPr="00056610">
        <w:rPr>
          <w:rFonts w:eastAsia="黑体"/>
          <w:b/>
          <w:color w:val="000000"/>
          <w:sz w:val="30"/>
          <w:szCs w:val="30"/>
          <w:u w:val="single"/>
        </w:rPr>
        <w:t>院</w:t>
      </w:r>
      <w:r>
        <w:rPr>
          <w:rFonts w:eastAsia="黑体"/>
          <w:color w:val="000000"/>
          <w:sz w:val="28"/>
          <w:szCs w:val="28"/>
          <w:u w:val="single"/>
        </w:rPr>
        <w:t xml:space="preserve"> </w:t>
      </w:r>
      <w:r>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w:t>
      </w:r>
    </w:p>
    <w:p w:rsidR="00961785" w:rsidRDefault="00056610" w:rsidP="00056610">
      <w:pPr>
        <w:tabs>
          <w:tab w:val="left" w:pos="8035"/>
        </w:tabs>
        <w:spacing w:line="760" w:lineRule="exact"/>
        <w:ind w:leftChars="284" w:left="596" w:rightChars="310" w:right="651"/>
        <w:rPr>
          <w:rFonts w:eastAsia="黑体"/>
          <w:color w:val="000000"/>
          <w:sz w:val="18"/>
          <w:szCs w:val="18"/>
          <w:u w:val="single"/>
        </w:rPr>
      </w:pPr>
      <w:r>
        <w:rPr>
          <w:rFonts w:eastAsia="黑体"/>
          <w:color w:val="000000"/>
          <w:sz w:val="30"/>
          <w:szCs w:val="30"/>
        </w:rPr>
        <w:t>学</w:t>
      </w:r>
      <w:r>
        <w:rPr>
          <w:rFonts w:eastAsia="黑体"/>
          <w:color w:val="000000"/>
          <w:sz w:val="30"/>
          <w:szCs w:val="30"/>
        </w:rPr>
        <w:t xml:space="preserve">    </w:t>
      </w:r>
      <w:r>
        <w:rPr>
          <w:rFonts w:eastAsia="黑体"/>
          <w:color w:val="000000"/>
          <w:sz w:val="30"/>
          <w:szCs w:val="30"/>
        </w:rPr>
        <w:t>号</w:t>
      </w:r>
      <w:r w:rsidRPr="00056610">
        <w:rPr>
          <w:rFonts w:eastAsia="黑体"/>
          <w:color w:val="000000"/>
          <w:sz w:val="18"/>
          <w:szCs w:val="30"/>
          <w:u w:val="single"/>
        </w:rPr>
        <w:t xml:space="preserve"> </w:t>
      </w:r>
      <w:r w:rsidRPr="00056610">
        <w:rPr>
          <w:rFonts w:eastAsia="黑体"/>
          <w:color w:val="000000"/>
          <w:sz w:val="10"/>
          <w:szCs w:val="30"/>
          <w:u w:val="single"/>
        </w:rPr>
        <w:t xml:space="preserve"> </w:t>
      </w:r>
      <w:r w:rsidRPr="00056610">
        <w:rPr>
          <w:rFonts w:eastAsia="黑体"/>
          <w:color w:val="000000"/>
          <w:sz w:val="30"/>
          <w:szCs w:val="30"/>
          <w:u w:val="single"/>
        </w:rPr>
        <w:t>201705650324</w:t>
      </w:r>
      <w:r>
        <w:rPr>
          <w:rFonts w:eastAsia="黑体"/>
          <w:color w:val="000000"/>
          <w:sz w:val="28"/>
          <w:szCs w:val="28"/>
          <w:u w:val="single"/>
        </w:rPr>
        <w:t xml:space="preserve"> </w:t>
      </w:r>
      <w:r w:rsidRPr="00056610">
        <w:rPr>
          <w:rFonts w:eastAsia="黑体"/>
          <w:color w:val="000000"/>
          <w:sz w:val="8"/>
          <w:szCs w:val="30"/>
          <w:u w:val="single"/>
        </w:rPr>
        <w:t xml:space="preserve"> </w:t>
      </w:r>
      <w:r>
        <w:rPr>
          <w:rFonts w:eastAsia="黑体"/>
          <w:color w:val="000000"/>
          <w:sz w:val="30"/>
          <w:szCs w:val="30"/>
        </w:rPr>
        <w:t>专业班级</w:t>
      </w:r>
      <w:r>
        <w:rPr>
          <w:rFonts w:eastAsia="黑体"/>
          <w:color w:val="000000"/>
          <w:sz w:val="28"/>
          <w:szCs w:val="28"/>
          <w:u w:val="single"/>
        </w:rPr>
        <w:t xml:space="preserve"> </w:t>
      </w:r>
      <w:r w:rsidRPr="00056610">
        <w:rPr>
          <w:rFonts w:eastAsia="黑体"/>
          <w:color w:val="000000"/>
          <w:sz w:val="30"/>
          <w:szCs w:val="30"/>
          <w:u w:val="single"/>
        </w:rPr>
        <w:t>2017</w:t>
      </w:r>
      <w:r w:rsidRPr="00056610">
        <w:rPr>
          <w:rFonts w:ascii="黑体" w:eastAsia="黑体" w:hAnsi="黑体"/>
          <w:b/>
          <w:color w:val="000000"/>
          <w:sz w:val="30"/>
          <w:szCs w:val="30"/>
          <w:u w:val="single"/>
        </w:rPr>
        <w:t>级化工</w:t>
      </w:r>
      <w:r w:rsidRPr="00056610">
        <w:rPr>
          <w:rFonts w:eastAsia="黑体"/>
          <w:color w:val="000000"/>
          <w:sz w:val="30"/>
          <w:szCs w:val="30"/>
          <w:u w:val="single"/>
        </w:rPr>
        <w:t>3</w:t>
      </w:r>
      <w:r w:rsidRPr="00056610">
        <w:rPr>
          <w:rFonts w:ascii="黑体" w:eastAsia="黑体" w:hAnsi="黑体"/>
          <w:b/>
          <w:color w:val="000000"/>
          <w:sz w:val="30"/>
          <w:szCs w:val="30"/>
          <w:u w:val="single"/>
        </w:rPr>
        <w:t>班</w:t>
      </w:r>
      <w:r>
        <w:rPr>
          <w:rFonts w:eastAsia="黑体" w:hint="eastAsia"/>
          <w:color w:val="000000"/>
          <w:sz w:val="28"/>
          <w:szCs w:val="28"/>
          <w:u w:val="single"/>
        </w:rPr>
        <w:t xml:space="preserve">   </w:t>
      </w:r>
    </w:p>
    <w:p w:rsidR="00961785" w:rsidRDefault="00056610" w:rsidP="00056610">
      <w:pPr>
        <w:tabs>
          <w:tab w:val="left" w:pos="8035"/>
        </w:tabs>
        <w:spacing w:line="760" w:lineRule="exact"/>
        <w:ind w:rightChars="310" w:right="651" w:firstLineChars="200" w:firstLine="600"/>
        <w:rPr>
          <w:rFonts w:eastAsia="黑体"/>
          <w:color w:val="000000"/>
          <w:sz w:val="30"/>
          <w:szCs w:val="30"/>
          <w:u w:val="single"/>
        </w:rPr>
      </w:pPr>
      <w:r>
        <w:rPr>
          <w:rFonts w:eastAsia="黑体"/>
          <w:color w:val="000000"/>
          <w:sz w:val="30"/>
          <w:szCs w:val="30"/>
        </w:rPr>
        <w:t>指导教师</w:t>
      </w:r>
      <w:r>
        <w:rPr>
          <w:rFonts w:eastAsia="黑体"/>
          <w:color w:val="000000"/>
          <w:sz w:val="30"/>
          <w:szCs w:val="30"/>
          <w:u w:val="single"/>
        </w:rPr>
        <w:t xml:space="preserve">           </w:t>
      </w:r>
      <w:r>
        <w:rPr>
          <w:rFonts w:eastAsia="黑体" w:hint="eastAsia"/>
          <w:color w:val="000000"/>
          <w:sz w:val="30"/>
          <w:szCs w:val="30"/>
          <w:u w:val="single"/>
        </w:rPr>
        <w:t xml:space="preserve">  </w:t>
      </w:r>
      <w:r w:rsidRPr="00056610">
        <w:rPr>
          <w:rFonts w:eastAsia="黑体" w:hint="eastAsia"/>
          <w:color w:val="000000"/>
          <w:sz w:val="40"/>
          <w:szCs w:val="30"/>
          <w:u w:val="single"/>
        </w:rPr>
        <w:t xml:space="preserve"> </w:t>
      </w:r>
      <w:r>
        <w:rPr>
          <w:rFonts w:eastAsia="黑体"/>
          <w:color w:val="000000"/>
          <w:sz w:val="30"/>
          <w:szCs w:val="30"/>
          <w:u w:val="single"/>
        </w:rPr>
        <w:t xml:space="preserve"> </w:t>
      </w:r>
      <w:r w:rsidRPr="00056610">
        <w:rPr>
          <w:rFonts w:eastAsia="黑体"/>
          <w:b/>
          <w:color w:val="000000"/>
          <w:sz w:val="30"/>
          <w:szCs w:val="30"/>
          <w:u w:val="single"/>
        </w:rPr>
        <w:t>王威燕</w:t>
      </w:r>
      <w:r>
        <w:rPr>
          <w:rFonts w:eastAsia="黑体"/>
          <w:color w:val="000000"/>
          <w:sz w:val="28"/>
          <w:szCs w:val="28"/>
          <w:u w:val="single"/>
        </w:rPr>
        <w:t xml:space="preserve"> </w:t>
      </w:r>
      <w:r>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w:t>
      </w:r>
    </w:p>
    <w:p w:rsidR="00961785" w:rsidRDefault="00056610" w:rsidP="00056610">
      <w:pPr>
        <w:tabs>
          <w:tab w:val="left" w:pos="8035"/>
        </w:tabs>
        <w:spacing w:line="760" w:lineRule="exact"/>
        <w:ind w:rightChars="310" w:right="651" w:firstLineChars="150" w:firstLine="624"/>
        <w:rPr>
          <w:rFonts w:eastAsia="黑体"/>
          <w:color w:val="000000"/>
          <w:sz w:val="30"/>
          <w:szCs w:val="30"/>
          <w:u w:val="single"/>
        </w:rPr>
      </w:pPr>
      <w:r>
        <w:rPr>
          <w:rFonts w:eastAsia="黑体"/>
          <w:spacing w:val="58"/>
          <w:sz w:val="30"/>
          <w:szCs w:val="30"/>
        </w:rPr>
        <w:t>E-mail</w:t>
      </w:r>
      <w:r>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w:t>
      </w:r>
    </w:p>
    <w:p w:rsidR="00961785" w:rsidRDefault="00056610" w:rsidP="00056610">
      <w:pPr>
        <w:tabs>
          <w:tab w:val="left" w:pos="8035"/>
        </w:tabs>
        <w:spacing w:line="760" w:lineRule="exact"/>
        <w:ind w:rightChars="310" w:right="651" w:firstLineChars="200" w:firstLine="600"/>
        <w:rPr>
          <w:rFonts w:eastAsia="黑体"/>
          <w:color w:val="000000"/>
          <w:sz w:val="30"/>
          <w:szCs w:val="30"/>
          <w:u w:val="single"/>
        </w:rPr>
      </w:pPr>
      <w:r>
        <w:rPr>
          <w:rFonts w:eastAsia="黑体"/>
          <w:color w:val="000000"/>
          <w:sz w:val="30"/>
          <w:szCs w:val="30"/>
        </w:rPr>
        <w:t>申请日期</w:t>
      </w:r>
      <w:r>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2019</w:t>
      </w:r>
      <w:r w:rsidRPr="00056610">
        <w:rPr>
          <w:rFonts w:eastAsia="黑体" w:hint="eastAsia"/>
          <w:b/>
          <w:color w:val="000000"/>
          <w:sz w:val="30"/>
          <w:szCs w:val="30"/>
          <w:u w:val="single"/>
        </w:rPr>
        <w:t>年</w:t>
      </w:r>
      <w:r>
        <w:rPr>
          <w:rFonts w:eastAsia="黑体" w:hint="eastAsia"/>
          <w:color w:val="000000"/>
          <w:sz w:val="30"/>
          <w:szCs w:val="30"/>
          <w:u w:val="single"/>
        </w:rPr>
        <w:t>5</w:t>
      </w:r>
      <w:r w:rsidRPr="00056610">
        <w:rPr>
          <w:rFonts w:eastAsia="黑体" w:hint="eastAsia"/>
          <w:b/>
          <w:color w:val="000000"/>
          <w:sz w:val="30"/>
          <w:szCs w:val="30"/>
          <w:u w:val="single"/>
        </w:rPr>
        <w:t>月</w:t>
      </w:r>
      <w:r>
        <w:rPr>
          <w:rFonts w:eastAsia="黑体" w:hint="eastAsia"/>
          <w:color w:val="000000"/>
          <w:sz w:val="30"/>
          <w:szCs w:val="30"/>
          <w:u w:val="single"/>
        </w:rPr>
        <w:t>8</w:t>
      </w:r>
      <w:r w:rsidRPr="00056610">
        <w:rPr>
          <w:rFonts w:eastAsia="黑体" w:hint="eastAsia"/>
          <w:b/>
          <w:color w:val="000000"/>
          <w:sz w:val="30"/>
          <w:szCs w:val="30"/>
          <w:u w:val="single"/>
        </w:rPr>
        <w:t>日</w:t>
      </w:r>
      <w:r>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 xml:space="preserve">      </w:t>
      </w:r>
    </w:p>
    <w:p w:rsidR="00961785" w:rsidRDefault="00056610" w:rsidP="00056610">
      <w:pPr>
        <w:tabs>
          <w:tab w:val="left" w:pos="8035"/>
        </w:tabs>
        <w:spacing w:line="760" w:lineRule="exact"/>
        <w:ind w:rightChars="310" w:right="651" w:firstLineChars="200" w:firstLine="600"/>
        <w:rPr>
          <w:rFonts w:eastAsia="黑体"/>
          <w:color w:val="000000"/>
          <w:sz w:val="30"/>
          <w:szCs w:val="30"/>
          <w:u w:val="single"/>
        </w:rPr>
      </w:pPr>
      <w:r>
        <w:rPr>
          <w:rFonts w:eastAsia="黑体"/>
          <w:color w:val="000000"/>
          <w:sz w:val="30"/>
          <w:szCs w:val="30"/>
        </w:rPr>
        <w:t>起止年月</w:t>
      </w:r>
      <w:r>
        <w:rPr>
          <w:rFonts w:eastAsia="黑体"/>
          <w:color w:val="000000"/>
          <w:sz w:val="30"/>
          <w:szCs w:val="30"/>
          <w:u w:val="single"/>
        </w:rPr>
        <w:t xml:space="preserve">  </w:t>
      </w:r>
      <w:r w:rsidR="00972AE8">
        <w:rPr>
          <w:rFonts w:eastAsia="黑体"/>
          <w:color w:val="000000"/>
          <w:sz w:val="30"/>
          <w:szCs w:val="30"/>
          <w:u w:val="single"/>
        </w:rPr>
        <w:t xml:space="preserve">      </w:t>
      </w:r>
      <w:r>
        <w:rPr>
          <w:rFonts w:eastAsia="黑体" w:hint="eastAsia"/>
          <w:color w:val="000000"/>
          <w:sz w:val="30"/>
          <w:szCs w:val="30"/>
          <w:u w:val="single"/>
        </w:rPr>
        <w:t xml:space="preserve"> </w:t>
      </w:r>
      <w:r>
        <w:rPr>
          <w:rFonts w:eastAsia="黑体"/>
          <w:color w:val="000000"/>
          <w:sz w:val="30"/>
          <w:szCs w:val="30"/>
          <w:u w:val="single"/>
        </w:rPr>
        <w:t>2019</w:t>
      </w:r>
      <w:r w:rsidRPr="00056610">
        <w:rPr>
          <w:rFonts w:eastAsia="黑体" w:hint="eastAsia"/>
          <w:b/>
          <w:color w:val="000000"/>
          <w:sz w:val="30"/>
          <w:szCs w:val="30"/>
          <w:u w:val="single"/>
        </w:rPr>
        <w:t>年</w:t>
      </w:r>
      <w:r>
        <w:rPr>
          <w:rFonts w:eastAsia="黑体" w:hint="eastAsia"/>
          <w:color w:val="000000"/>
          <w:sz w:val="30"/>
          <w:szCs w:val="30"/>
          <w:u w:val="single"/>
        </w:rPr>
        <w:t>5</w:t>
      </w:r>
      <w:r w:rsidRPr="00056610">
        <w:rPr>
          <w:rFonts w:eastAsia="黑体" w:hint="eastAsia"/>
          <w:b/>
          <w:color w:val="000000"/>
          <w:sz w:val="30"/>
          <w:szCs w:val="30"/>
          <w:u w:val="single"/>
        </w:rPr>
        <w:t>月</w:t>
      </w:r>
      <w:r w:rsidR="00972AE8">
        <w:rPr>
          <w:rFonts w:eastAsia="黑体"/>
          <w:color w:val="000000"/>
          <w:sz w:val="30"/>
          <w:szCs w:val="30"/>
          <w:u w:val="single"/>
        </w:rPr>
        <w:t>-</w:t>
      </w:r>
      <w:r>
        <w:rPr>
          <w:rFonts w:eastAsia="黑体" w:hint="eastAsia"/>
          <w:color w:val="000000"/>
          <w:sz w:val="30"/>
          <w:szCs w:val="30"/>
          <w:u w:val="single"/>
        </w:rPr>
        <w:t>2</w:t>
      </w:r>
      <w:r>
        <w:rPr>
          <w:rFonts w:eastAsia="黑体"/>
          <w:color w:val="000000"/>
          <w:sz w:val="30"/>
          <w:szCs w:val="30"/>
          <w:u w:val="single"/>
        </w:rPr>
        <w:t>021</w:t>
      </w:r>
      <w:r w:rsidRPr="00056610">
        <w:rPr>
          <w:rFonts w:eastAsia="黑体" w:hint="eastAsia"/>
          <w:b/>
          <w:color w:val="000000"/>
          <w:sz w:val="30"/>
          <w:szCs w:val="30"/>
          <w:u w:val="single"/>
        </w:rPr>
        <w:t>年</w:t>
      </w:r>
      <w:r>
        <w:rPr>
          <w:rFonts w:eastAsia="黑体" w:hint="eastAsia"/>
          <w:color w:val="000000"/>
          <w:sz w:val="30"/>
          <w:szCs w:val="30"/>
          <w:u w:val="single"/>
        </w:rPr>
        <w:t>5</w:t>
      </w:r>
      <w:r w:rsidRPr="00056610">
        <w:rPr>
          <w:rFonts w:eastAsia="黑体" w:hint="eastAsia"/>
          <w:b/>
          <w:color w:val="000000"/>
          <w:sz w:val="30"/>
          <w:szCs w:val="30"/>
          <w:u w:val="single"/>
        </w:rPr>
        <w:t>月</w:t>
      </w:r>
      <w:r>
        <w:rPr>
          <w:rFonts w:eastAsia="黑体"/>
          <w:color w:val="000000"/>
          <w:sz w:val="30"/>
          <w:szCs w:val="30"/>
          <w:u w:val="single"/>
        </w:rPr>
        <w:t xml:space="preserve">   </w:t>
      </w:r>
      <w:r w:rsidR="00972AE8">
        <w:rPr>
          <w:rFonts w:eastAsia="黑体"/>
          <w:color w:val="000000"/>
          <w:sz w:val="30"/>
          <w:szCs w:val="30"/>
          <w:u w:val="single"/>
        </w:rPr>
        <w:t xml:space="preserve">       </w:t>
      </w:r>
    </w:p>
    <w:p w:rsidR="00056610" w:rsidRDefault="00056610" w:rsidP="00056610">
      <w:pPr>
        <w:tabs>
          <w:tab w:val="left" w:pos="2850"/>
          <w:tab w:val="center" w:pos="4153"/>
          <w:tab w:val="left" w:pos="5745"/>
        </w:tabs>
        <w:spacing w:before="1560" w:line="240" w:lineRule="exact"/>
        <w:jc w:val="left"/>
        <w:rPr>
          <w:b/>
          <w:sz w:val="36"/>
          <w:szCs w:val="36"/>
        </w:rPr>
      </w:pPr>
      <w:r>
        <w:rPr>
          <w:rFonts w:eastAsia="黑体"/>
          <w:sz w:val="30"/>
          <w:szCs w:val="30"/>
        </w:rPr>
        <w:tab/>
      </w:r>
      <w:r>
        <w:rPr>
          <w:rFonts w:eastAsia="黑体"/>
          <w:sz w:val="30"/>
          <w:szCs w:val="30"/>
        </w:rPr>
        <w:tab/>
      </w:r>
      <w:r>
        <w:rPr>
          <w:rFonts w:eastAsia="黑体"/>
          <w:sz w:val="30"/>
          <w:szCs w:val="30"/>
        </w:rPr>
        <w:t>湘潭大学</w:t>
      </w:r>
      <w:r>
        <w:rPr>
          <w:b/>
          <w:sz w:val="36"/>
          <w:szCs w:val="36"/>
        </w:rPr>
        <w:br w:type="page"/>
      </w:r>
    </w:p>
    <w:p w:rsidR="00056610" w:rsidRDefault="00056610">
      <w:pPr>
        <w:jc w:val="center"/>
        <w:rPr>
          <w:b/>
          <w:sz w:val="36"/>
          <w:szCs w:val="36"/>
        </w:rPr>
      </w:pPr>
    </w:p>
    <w:p w:rsidR="00961785" w:rsidRDefault="00961785">
      <w:pPr>
        <w:tabs>
          <w:tab w:val="left" w:pos="630"/>
        </w:tabs>
        <w:snapToGrid w:val="0"/>
        <w:spacing w:line="680" w:lineRule="exact"/>
        <w:ind w:firstLineChars="150" w:firstLine="450"/>
        <w:rPr>
          <w:rFonts w:eastAsia="仿宋_GB2312"/>
          <w:sz w:val="30"/>
          <w:szCs w:val="30"/>
        </w:rPr>
      </w:pPr>
    </w:p>
    <w:p w:rsidR="00961785" w:rsidRDefault="00961785">
      <w:pPr>
        <w:spacing w:before="120" w:line="580" w:lineRule="exact"/>
        <w:ind w:firstLine="624"/>
        <w:rPr>
          <w:rFonts w:eastAsia="仿宋_GB2312"/>
          <w:sz w:val="28"/>
          <w:szCs w:val="28"/>
        </w:rPr>
      </w:pPr>
    </w:p>
    <w:p w:rsidR="00056610" w:rsidRDefault="00056610" w:rsidP="00056610">
      <w:pPr>
        <w:numPr>
          <w:ilvl w:val="1"/>
          <w:numId w:val="1"/>
        </w:numPr>
        <w:tabs>
          <w:tab w:val="left" w:pos="720"/>
        </w:tabs>
        <w:spacing w:beforeLines="50" w:before="156" w:afterLines="50" w:after="156" w:line="300" w:lineRule="auto"/>
        <w:ind w:left="0" w:right="567" w:firstLine="0"/>
        <w:rPr>
          <w:rFonts w:eastAsia="黑体"/>
          <w:sz w:val="28"/>
        </w:rPr>
        <w:sectPr w:rsidR="00056610" w:rsidSect="00961785">
          <w:pgSz w:w="11906" w:h="16838"/>
          <w:pgMar w:top="1440" w:right="1800" w:bottom="1440" w:left="1800" w:header="851" w:footer="992" w:gutter="0"/>
          <w:cols w:space="425"/>
          <w:docGrid w:type="lines" w:linePitch="312"/>
        </w:sectPr>
      </w:pPr>
    </w:p>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0"/>
        <w:gridCol w:w="420"/>
        <w:gridCol w:w="960"/>
        <w:gridCol w:w="752"/>
        <w:gridCol w:w="283"/>
        <w:gridCol w:w="531"/>
        <w:gridCol w:w="603"/>
        <w:gridCol w:w="709"/>
        <w:gridCol w:w="152"/>
        <w:gridCol w:w="379"/>
        <w:gridCol w:w="671"/>
        <w:gridCol w:w="641"/>
        <w:gridCol w:w="304"/>
        <w:gridCol w:w="210"/>
        <w:gridCol w:w="1785"/>
      </w:tblGrid>
      <w:tr w:rsidR="00961785" w:rsidTr="00922885">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961785" w:rsidRDefault="00056610">
            <w:pPr>
              <w:jc w:val="center"/>
              <w:rPr>
                <w:sz w:val="24"/>
              </w:rPr>
            </w:pPr>
            <w:r>
              <w:rPr>
                <w:sz w:val="24"/>
              </w:rPr>
              <w:t>项目</w:t>
            </w:r>
          </w:p>
          <w:p w:rsidR="00961785" w:rsidRDefault="00056610">
            <w:pPr>
              <w:spacing w:line="240" w:lineRule="exact"/>
              <w:jc w:val="center"/>
              <w:rPr>
                <w:sz w:val="24"/>
              </w:rPr>
            </w:pPr>
            <w:r>
              <w:rPr>
                <w:sz w:val="24"/>
              </w:rPr>
              <w:t>名称</w:t>
            </w:r>
          </w:p>
        </w:tc>
        <w:tc>
          <w:tcPr>
            <w:tcW w:w="7980" w:type="dxa"/>
            <w:gridSpan w:val="13"/>
            <w:tcBorders>
              <w:top w:val="single" w:sz="6" w:space="0" w:color="auto"/>
              <w:left w:val="nil"/>
              <w:right w:val="single" w:sz="6" w:space="0" w:color="auto"/>
            </w:tcBorders>
            <w:vAlign w:val="center"/>
          </w:tcPr>
          <w:p w:rsidR="00961785" w:rsidRPr="00056610" w:rsidRDefault="00056610">
            <w:pPr>
              <w:jc w:val="center"/>
              <w:rPr>
                <w:b/>
                <w:sz w:val="24"/>
              </w:rPr>
            </w:pPr>
            <w:bookmarkStart w:id="0" w:name="_Hlk8122836"/>
            <w:r w:rsidRPr="00056610">
              <w:rPr>
                <w:b/>
                <w:sz w:val="24"/>
                <w:szCs w:val="24"/>
              </w:rPr>
              <w:t>高暴露</w:t>
            </w:r>
            <w:r w:rsidRPr="00056610">
              <w:rPr>
                <w:b/>
                <w:sz w:val="24"/>
                <w:szCs w:val="24"/>
              </w:rPr>
              <w:t>Rim-Edge</w:t>
            </w:r>
            <w:r w:rsidRPr="00056610">
              <w:rPr>
                <w:b/>
                <w:sz w:val="24"/>
                <w:szCs w:val="24"/>
              </w:rPr>
              <w:t>位</w:t>
            </w:r>
            <w:r w:rsidRPr="00056610">
              <w:rPr>
                <w:b/>
                <w:sz w:val="24"/>
                <w:szCs w:val="24"/>
              </w:rPr>
              <w:t>MoS</w:t>
            </w:r>
            <w:r w:rsidRPr="00056610">
              <w:rPr>
                <w:b/>
                <w:sz w:val="24"/>
                <w:szCs w:val="24"/>
                <w:vertAlign w:val="subscript"/>
              </w:rPr>
              <w:t>2</w:t>
            </w:r>
            <w:r w:rsidRPr="00056610">
              <w:rPr>
                <w:b/>
                <w:sz w:val="24"/>
                <w:szCs w:val="24"/>
              </w:rPr>
              <w:t>的制备及其催化生物油中酚类化合物</w:t>
            </w:r>
            <w:r w:rsidRPr="00056610">
              <w:rPr>
                <w:b/>
                <w:sz w:val="24"/>
                <w:szCs w:val="24"/>
              </w:rPr>
              <w:br/>
            </w:r>
            <w:r w:rsidRPr="00056610">
              <w:rPr>
                <w:b/>
                <w:sz w:val="24"/>
                <w:szCs w:val="24"/>
              </w:rPr>
              <w:t>加氢脱氧性能研究</w:t>
            </w:r>
            <w:bookmarkEnd w:id="0"/>
          </w:p>
        </w:tc>
      </w:tr>
      <w:tr w:rsidR="00961785" w:rsidTr="00922885">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61785" w:rsidRDefault="00056610">
            <w:pPr>
              <w:jc w:val="center"/>
              <w:rPr>
                <w:sz w:val="24"/>
              </w:rPr>
            </w:pPr>
            <w:r>
              <w:rPr>
                <w:sz w:val="24"/>
              </w:rPr>
              <w:t>所属</w:t>
            </w:r>
          </w:p>
          <w:p w:rsidR="00961785" w:rsidRDefault="00056610">
            <w:pPr>
              <w:jc w:val="center"/>
              <w:rPr>
                <w:sz w:val="24"/>
              </w:rPr>
            </w:pPr>
            <w:r>
              <w:rPr>
                <w:sz w:val="24"/>
              </w:rPr>
              <w:t>学科</w:t>
            </w:r>
          </w:p>
        </w:tc>
        <w:tc>
          <w:tcPr>
            <w:tcW w:w="1995" w:type="dxa"/>
            <w:gridSpan w:val="3"/>
            <w:tcBorders>
              <w:top w:val="nil"/>
              <w:left w:val="nil"/>
              <w:bottom w:val="single" w:sz="4" w:space="0" w:color="auto"/>
              <w:right w:val="single" w:sz="6" w:space="0" w:color="auto"/>
            </w:tcBorders>
            <w:vAlign w:val="center"/>
          </w:tcPr>
          <w:p w:rsidR="00961785" w:rsidRDefault="00056610">
            <w:pPr>
              <w:widowControl/>
              <w:tabs>
                <w:tab w:val="left" w:pos="2025"/>
                <w:tab w:val="center" w:pos="4082"/>
              </w:tabs>
              <w:jc w:val="left"/>
              <w:rPr>
                <w:sz w:val="24"/>
              </w:rPr>
            </w:pPr>
            <w:r>
              <w:rPr>
                <w:sz w:val="24"/>
              </w:rPr>
              <w:t>学科一级门：</w:t>
            </w:r>
          </w:p>
        </w:tc>
        <w:tc>
          <w:tcPr>
            <w:tcW w:w="1995" w:type="dxa"/>
            <w:gridSpan w:val="4"/>
            <w:tcBorders>
              <w:top w:val="nil"/>
              <w:left w:val="nil"/>
              <w:bottom w:val="single" w:sz="4" w:space="0" w:color="auto"/>
              <w:right w:val="single" w:sz="6" w:space="0" w:color="auto"/>
            </w:tcBorders>
            <w:vAlign w:val="center"/>
          </w:tcPr>
          <w:p w:rsidR="00961785" w:rsidRPr="00056610" w:rsidRDefault="00056610">
            <w:pPr>
              <w:widowControl/>
              <w:tabs>
                <w:tab w:val="left" w:pos="2025"/>
                <w:tab w:val="center" w:pos="4082"/>
              </w:tabs>
              <w:jc w:val="center"/>
              <w:rPr>
                <w:b/>
                <w:sz w:val="24"/>
              </w:rPr>
            </w:pPr>
            <w:r w:rsidRPr="00056610">
              <w:rPr>
                <w:rFonts w:hint="eastAsia"/>
                <w:b/>
                <w:sz w:val="24"/>
              </w:rPr>
              <w:t>工学</w:t>
            </w:r>
          </w:p>
        </w:tc>
        <w:tc>
          <w:tcPr>
            <w:tcW w:w="1995" w:type="dxa"/>
            <w:gridSpan w:val="4"/>
            <w:tcBorders>
              <w:top w:val="nil"/>
              <w:left w:val="nil"/>
              <w:bottom w:val="single" w:sz="4" w:space="0" w:color="auto"/>
              <w:right w:val="single" w:sz="6" w:space="0" w:color="auto"/>
            </w:tcBorders>
            <w:vAlign w:val="center"/>
          </w:tcPr>
          <w:p w:rsidR="00961785" w:rsidRDefault="00056610">
            <w:pPr>
              <w:widowControl/>
              <w:tabs>
                <w:tab w:val="left" w:pos="2025"/>
                <w:tab w:val="center" w:pos="4082"/>
              </w:tabs>
              <w:jc w:val="left"/>
              <w:rPr>
                <w:sz w:val="24"/>
              </w:rPr>
            </w:pPr>
            <w:r>
              <w:rPr>
                <w:sz w:val="24"/>
              </w:rPr>
              <w:t>学科二级类：</w:t>
            </w:r>
          </w:p>
        </w:tc>
        <w:tc>
          <w:tcPr>
            <w:tcW w:w="1995" w:type="dxa"/>
            <w:gridSpan w:val="2"/>
            <w:tcBorders>
              <w:top w:val="nil"/>
              <w:left w:val="nil"/>
              <w:bottom w:val="single" w:sz="4" w:space="0" w:color="auto"/>
              <w:right w:val="single" w:sz="6" w:space="0" w:color="auto"/>
            </w:tcBorders>
            <w:vAlign w:val="center"/>
          </w:tcPr>
          <w:p w:rsidR="00961785" w:rsidRPr="00056610" w:rsidRDefault="00056610">
            <w:pPr>
              <w:widowControl/>
              <w:tabs>
                <w:tab w:val="left" w:pos="2025"/>
                <w:tab w:val="center" w:pos="4082"/>
              </w:tabs>
              <w:jc w:val="center"/>
              <w:rPr>
                <w:b/>
                <w:sz w:val="24"/>
              </w:rPr>
            </w:pPr>
            <w:r w:rsidRPr="00056610">
              <w:rPr>
                <w:rFonts w:hint="eastAsia"/>
                <w:b/>
                <w:sz w:val="24"/>
              </w:rPr>
              <w:t>化工与制药类</w:t>
            </w:r>
          </w:p>
        </w:tc>
      </w:tr>
      <w:tr w:rsidR="00961785" w:rsidTr="00922885">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61785" w:rsidRDefault="00056610">
            <w:pPr>
              <w:jc w:val="center"/>
              <w:rPr>
                <w:sz w:val="24"/>
              </w:rPr>
            </w:pPr>
            <w:r>
              <w:rPr>
                <w:sz w:val="24"/>
              </w:rPr>
              <w:t>申请</w:t>
            </w:r>
          </w:p>
          <w:p w:rsidR="00961785" w:rsidRDefault="00056610">
            <w:pPr>
              <w:jc w:val="center"/>
              <w:rPr>
                <w:sz w:val="24"/>
              </w:rPr>
            </w:pPr>
            <w:r>
              <w:rPr>
                <w:sz w:val="24"/>
              </w:rPr>
              <w:t>金额</w:t>
            </w:r>
          </w:p>
        </w:tc>
        <w:tc>
          <w:tcPr>
            <w:tcW w:w="2526" w:type="dxa"/>
            <w:gridSpan w:val="4"/>
            <w:tcBorders>
              <w:top w:val="single" w:sz="4" w:space="0" w:color="auto"/>
              <w:left w:val="nil"/>
              <w:bottom w:val="single" w:sz="4" w:space="0" w:color="auto"/>
            </w:tcBorders>
            <w:vAlign w:val="center"/>
          </w:tcPr>
          <w:p w:rsidR="00961785" w:rsidRPr="00056610" w:rsidRDefault="00961785" w:rsidP="00056610">
            <w:pPr>
              <w:jc w:val="center"/>
              <w:rPr>
                <w:b/>
                <w:sz w:val="24"/>
              </w:rPr>
            </w:pPr>
            <w:bookmarkStart w:id="1" w:name="_GoBack"/>
            <w:bookmarkEnd w:id="1"/>
          </w:p>
        </w:tc>
        <w:tc>
          <w:tcPr>
            <w:tcW w:w="1312" w:type="dxa"/>
            <w:gridSpan w:val="2"/>
            <w:tcBorders>
              <w:top w:val="single" w:sz="4" w:space="0" w:color="auto"/>
              <w:bottom w:val="single" w:sz="4" w:space="0" w:color="auto"/>
            </w:tcBorders>
            <w:vAlign w:val="center"/>
          </w:tcPr>
          <w:p w:rsidR="00961785" w:rsidRDefault="00961785">
            <w:pPr>
              <w:jc w:val="center"/>
              <w:rPr>
                <w:sz w:val="24"/>
              </w:rPr>
            </w:pPr>
          </w:p>
        </w:tc>
        <w:tc>
          <w:tcPr>
            <w:tcW w:w="4142" w:type="dxa"/>
            <w:gridSpan w:val="7"/>
            <w:tcBorders>
              <w:top w:val="single" w:sz="4" w:space="0" w:color="auto"/>
              <w:bottom w:val="single" w:sz="4" w:space="0" w:color="auto"/>
              <w:right w:val="single" w:sz="6" w:space="0" w:color="auto"/>
            </w:tcBorders>
            <w:vAlign w:val="center"/>
          </w:tcPr>
          <w:p w:rsidR="00961785" w:rsidRPr="00056610" w:rsidRDefault="00961785" w:rsidP="00922885">
            <w:pPr>
              <w:jc w:val="center"/>
              <w:rPr>
                <w:b/>
                <w:sz w:val="24"/>
              </w:rPr>
            </w:pPr>
          </w:p>
        </w:tc>
      </w:tr>
      <w:tr w:rsidR="00961785" w:rsidTr="00922885">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61785" w:rsidRDefault="00056610">
            <w:pPr>
              <w:jc w:val="center"/>
              <w:rPr>
                <w:sz w:val="24"/>
              </w:rPr>
            </w:pPr>
            <w:r>
              <w:rPr>
                <w:sz w:val="24"/>
              </w:rPr>
              <w:t>负责人</w:t>
            </w:r>
          </w:p>
          <w:p w:rsidR="00961785" w:rsidRDefault="00056610">
            <w:pPr>
              <w:jc w:val="center"/>
              <w:rPr>
                <w:sz w:val="24"/>
              </w:rPr>
            </w:pPr>
            <w:r>
              <w:rPr>
                <w:sz w:val="24"/>
              </w:rPr>
              <w:t>姓名</w:t>
            </w:r>
          </w:p>
        </w:tc>
        <w:tc>
          <w:tcPr>
            <w:tcW w:w="1712" w:type="dxa"/>
            <w:gridSpan w:val="2"/>
            <w:tcBorders>
              <w:top w:val="single" w:sz="4" w:space="0" w:color="auto"/>
              <w:left w:val="nil"/>
              <w:bottom w:val="single" w:sz="4" w:space="0" w:color="auto"/>
              <w:right w:val="single" w:sz="4" w:space="0" w:color="auto"/>
            </w:tcBorders>
            <w:vAlign w:val="center"/>
          </w:tcPr>
          <w:p w:rsidR="00961785" w:rsidRPr="00056610" w:rsidRDefault="00961785">
            <w:pPr>
              <w:jc w:val="center"/>
              <w:rPr>
                <w:b/>
                <w:sz w:val="24"/>
              </w:rPr>
            </w:pPr>
          </w:p>
        </w:tc>
        <w:tc>
          <w:tcPr>
            <w:tcW w:w="814" w:type="dxa"/>
            <w:gridSpan w:val="2"/>
            <w:tcBorders>
              <w:top w:val="single" w:sz="4" w:space="0" w:color="auto"/>
              <w:left w:val="nil"/>
              <w:bottom w:val="single" w:sz="4" w:space="0" w:color="auto"/>
              <w:right w:val="single" w:sz="4" w:space="0" w:color="auto"/>
            </w:tcBorders>
            <w:vAlign w:val="center"/>
          </w:tcPr>
          <w:p w:rsidR="00961785" w:rsidRDefault="00961785" w:rsidP="00922885">
            <w:pPr>
              <w:jc w:val="center"/>
              <w:rPr>
                <w:sz w:val="24"/>
              </w:rPr>
            </w:pPr>
          </w:p>
        </w:tc>
        <w:tc>
          <w:tcPr>
            <w:tcW w:w="603" w:type="dxa"/>
            <w:tcBorders>
              <w:top w:val="single" w:sz="4" w:space="0" w:color="auto"/>
              <w:left w:val="single" w:sz="4" w:space="0" w:color="auto"/>
              <w:bottom w:val="single" w:sz="4" w:space="0" w:color="auto"/>
              <w:right w:val="single" w:sz="4" w:space="0" w:color="auto"/>
            </w:tcBorders>
            <w:vAlign w:val="center"/>
          </w:tcPr>
          <w:p w:rsidR="00961785" w:rsidRPr="00056610" w:rsidRDefault="00961785">
            <w:pPr>
              <w:jc w:val="center"/>
              <w:rPr>
                <w:b/>
                <w:sz w:val="24"/>
              </w:rPr>
            </w:pPr>
          </w:p>
        </w:tc>
        <w:tc>
          <w:tcPr>
            <w:tcW w:w="709" w:type="dxa"/>
            <w:tcBorders>
              <w:top w:val="single" w:sz="4" w:space="0" w:color="auto"/>
              <w:left w:val="single" w:sz="4" w:space="0" w:color="auto"/>
              <w:bottom w:val="single" w:sz="4" w:space="0" w:color="auto"/>
              <w:right w:val="single" w:sz="4" w:space="0" w:color="auto"/>
            </w:tcBorders>
            <w:vAlign w:val="center"/>
          </w:tcPr>
          <w:p w:rsidR="00961785" w:rsidRDefault="00961785">
            <w:pPr>
              <w:jc w:val="center"/>
              <w:rPr>
                <w:sz w:val="24"/>
              </w:rPr>
            </w:pPr>
          </w:p>
        </w:tc>
        <w:tc>
          <w:tcPr>
            <w:tcW w:w="1202" w:type="dxa"/>
            <w:gridSpan w:val="3"/>
            <w:tcBorders>
              <w:top w:val="single" w:sz="4" w:space="0" w:color="auto"/>
              <w:left w:val="single" w:sz="4" w:space="0" w:color="auto"/>
              <w:bottom w:val="single" w:sz="4" w:space="0" w:color="auto"/>
              <w:right w:val="single" w:sz="4" w:space="0" w:color="auto"/>
            </w:tcBorders>
            <w:vAlign w:val="center"/>
          </w:tcPr>
          <w:p w:rsidR="00961785" w:rsidRPr="00056610" w:rsidRDefault="00961785" w:rsidP="00922885">
            <w:pPr>
              <w:jc w:val="center"/>
              <w:rPr>
                <w:b/>
                <w:sz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961785" w:rsidRDefault="00961785">
            <w:pPr>
              <w:jc w:val="center"/>
              <w:rPr>
                <w:sz w:val="24"/>
              </w:rPr>
            </w:pPr>
          </w:p>
        </w:tc>
        <w:tc>
          <w:tcPr>
            <w:tcW w:w="1785" w:type="dxa"/>
            <w:tcBorders>
              <w:top w:val="single" w:sz="4" w:space="0" w:color="auto"/>
              <w:left w:val="single" w:sz="4" w:space="0" w:color="auto"/>
              <w:bottom w:val="single" w:sz="4" w:space="0" w:color="auto"/>
              <w:right w:val="single" w:sz="6" w:space="0" w:color="auto"/>
            </w:tcBorders>
            <w:vAlign w:val="center"/>
          </w:tcPr>
          <w:p w:rsidR="00961785" w:rsidRPr="00056610" w:rsidRDefault="00961785">
            <w:pPr>
              <w:jc w:val="center"/>
              <w:rPr>
                <w:b/>
                <w:sz w:val="24"/>
              </w:rPr>
            </w:pPr>
          </w:p>
        </w:tc>
      </w:tr>
      <w:tr w:rsidR="00961785" w:rsidTr="00922885">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61785" w:rsidRDefault="00056610">
            <w:pPr>
              <w:jc w:val="center"/>
              <w:rPr>
                <w:sz w:val="24"/>
              </w:rPr>
            </w:pPr>
            <w:r>
              <w:rPr>
                <w:sz w:val="24"/>
              </w:rPr>
              <w:t>学号</w:t>
            </w:r>
          </w:p>
        </w:tc>
        <w:tc>
          <w:tcPr>
            <w:tcW w:w="1712" w:type="dxa"/>
            <w:gridSpan w:val="2"/>
            <w:tcBorders>
              <w:top w:val="single" w:sz="4" w:space="0" w:color="auto"/>
              <w:left w:val="nil"/>
              <w:bottom w:val="single" w:sz="4" w:space="0" w:color="auto"/>
              <w:right w:val="single" w:sz="4" w:space="0" w:color="auto"/>
            </w:tcBorders>
            <w:vAlign w:val="center"/>
          </w:tcPr>
          <w:p w:rsidR="00961785" w:rsidRPr="00922885" w:rsidRDefault="00961785" w:rsidP="00922885">
            <w:pPr>
              <w:jc w:val="center"/>
              <w:rPr>
                <w:b/>
                <w:sz w:val="24"/>
              </w:rPr>
            </w:pPr>
          </w:p>
        </w:tc>
        <w:tc>
          <w:tcPr>
            <w:tcW w:w="814" w:type="dxa"/>
            <w:gridSpan w:val="2"/>
            <w:tcBorders>
              <w:top w:val="single" w:sz="4" w:space="0" w:color="auto"/>
              <w:left w:val="nil"/>
              <w:bottom w:val="single" w:sz="4" w:space="0" w:color="auto"/>
              <w:right w:val="single" w:sz="4" w:space="0" w:color="auto"/>
            </w:tcBorders>
            <w:vAlign w:val="center"/>
          </w:tcPr>
          <w:p w:rsidR="00961785" w:rsidRDefault="00961785" w:rsidP="00922885">
            <w:pPr>
              <w:jc w:val="center"/>
              <w:rPr>
                <w:sz w:val="24"/>
              </w:rPr>
            </w:pPr>
          </w:p>
        </w:tc>
        <w:tc>
          <w:tcPr>
            <w:tcW w:w="5454" w:type="dxa"/>
            <w:gridSpan w:val="9"/>
            <w:tcBorders>
              <w:top w:val="single" w:sz="4" w:space="0" w:color="auto"/>
              <w:left w:val="single" w:sz="4" w:space="0" w:color="auto"/>
              <w:bottom w:val="single" w:sz="4" w:space="0" w:color="auto"/>
              <w:right w:val="single" w:sz="6" w:space="0" w:color="auto"/>
            </w:tcBorders>
            <w:vAlign w:val="center"/>
          </w:tcPr>
          <w:p w:rsidR="00961785" w:rsidRDefault="00961785" w:rsidP="00922885">
            <w:pPr>
              <w:ind w:firstLineChars="200" w:firstLine="480"/>
              <w:rPr>
                <w:sz w:val="24"/>
              </w:rPr>
            </w:pPr>
          </w:p>
        </w:tc>
      </w:tr>
      <w:tr w:rsidR="00961785" w:rsidTr="00922885">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61785" w:rsidRDefault="00056610">
            <w:pPr>
              <w:jc w:val="center"/>
              <w:rPr>
                <w:sz w:val="24"/>
              </w:rPr>
            </w:pPr>
            <w:r>
              <w:rPr>
                <w:sz w:val="24"/>
              </w:rPr>
              <w:t>指导</w:t>
            </w:r>
          </w:p>
          <w:p w:rsidR="00961785" w:rsidRDefault="00056610">
            <w:pPr>
              <w:jc w:val="center"/>
              <w:rPr>
                <w:sz w:val="24"/>
              </w:rPr>
            </w:pPr>
            <w:r>
              <w:rPr>
                <w:sz w:val="24"/>
              </w:rPr>
              <w:t>教师</w:t>
            </w:r>
          </w:p>
        </w:tc>
        <w:tc>
          <w:tcPr>
            <w:tcW w:w="1712" w:type="dxa"/>
            <w:gridSpan w:val="2"/>
            <w:tcBorders>
              <w:top w:val="single" w:sz="4" w:space="0" w:color="auto"/>
              <w:left w:val="nil"/>
              <w:bottom w:val="single" w:sz="4" w:space="0" w:color="auto"/>
              <w:right w:val="single" w:sz="4" w:space="0" w:color="auto"/>
            </w:tcBorders>
            <w:vAlign w:val="center"/>
          </w:tcPr>
          <w:p w:rsidR="00961785" w:rsidRPr="00922885" w:rsidRDefault="00961785">
            <w:pPr>
              <w:jc w:val="center"/>
              <w:rPr>
                <w:b/>
                <w:sz w:val="24"/>
              </w:rPr>
            </w:pPr>
          </w:p>
        </w:tc>
        <w:tc>
          <w:tcPr>
            <w:tcW w:w="814" w:type="dxa"/>
            <w:gridSpan w:val="2"/>
            <w:tcBorders>
              <w:top w:val="single" w:sz="4" w:space="0" w:color="auto"/>
              <w:left w:val="nil"/>
              <w:bottom w:val="single" w:sz="4" w:space="0" w:color="auto"/>
              <w:right w:val="single" w:sz="4" w:space="0" w:color="auto"/>
            </w:tcBorders>
            <w:vAlign w:val="center"/>
          </w:tcPr>
          <w:p w:rsidR="00961785" w:rsidRDefault="00961785" w:rsidP="00922885">
            <w:pPr>
              <w:jc w:val="center"/>
              <w:rPr>
                <w:sz w:val="24"/>
              </w:rPr>
            </w:pPr>
          </w:p>
        </w:tc>
        <w:tc>
          <w:tcPr>
            <w:tcW w:w="5454" w:type="dxa"/>
            <w:gridSpan w:val="9"/>
            <w:tcBorders>
              <w:top w:val="single" w:sz="4" w:space="0" w:color="auto"/>
              <w:left w:val="single" w:sz="4" w:space="0" w:color="auto"/>
              <w:bottom w:val="single" w:sz="4" w:space="0" w:color="auto"/>
              <w:right w:val="single" w:sz="6" w:space="0" w:color="auto"/>
            </w:tcBorders>
            <w:vAlign w:val="center"/>
          </w:tcPr>
          <w:p w:rsidR="00961785" w:rsidRDefault="00961785" w:rsidP="00922885">
            <w:pPr>
              <w:ind w:firstLineChars="200" w:firstLine="480"/>
              <w:rPr>
                <w:sz w:val="24"/>
              </w:rPr>
            </w:pPr>
          </w:p>
        </w:tc>
      </w:tr>
      <w:tr w:rsidR="00961785" w:rsidTr="00922885">
        <w:trPr>
          <w:cantSplit/>
          <w:trHeight w:val="1861"/>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961785" w:rsidRDefault="00056610">
            <w:pPr>
              <w:rPr>
                <w:sz w:val="24"/>
              </w:rPr>
            </w:pPr>
            <w:r>
              <w:rPr>
                <w:sz w:val="24"/>
              </w:rPr>
              <w:t>负责人曾经参与科研的情况</w:t>
            </w:r>
          </w:p>
        </w:tc>
        <w:tc>
          <w:tcPr>
            <w:tcW w:w="7020" w:type="dxa"/>
            <w:gridSpan w:val="12"/>
            <w:tcBorders>
              <w:top w:val="single" w:sz="4" w:space="0" w:color="auto"/>
              <w:left w:val="nil"/>
              <w:bottom w:val="single" w:sz="4" w:space="0" w:color="auto"/>
              <w:right w:val="single" w:sz="6" w:space="0" w:color="auto"/>
            </w:tcBorders>
            <w:vAlign w:val="center"/>
          </w:tcPr>
          <w:p w:rsidR="00961785" w:rsidRDefault="00056610" w:rsidP="00922885">
            <w:pPr>
              <w:spacing w:line="300" w:lineRule="auto"/>
              <w:ind w:firstLineChars="200" w:firstLine="480"/>
              <w:rPr>
                <w:sz w:val="24"/>
              </w:rPr>
            </w:pPr>
            <w:r>
              <w:rPr>
                <w:sz w:val="24"/>
              </w:rPr>
              <w:t>负责人</w:t>
            </w:r>
            <w:r>
              <w:rPr>
                <w:rFonts w:hint="eastAsia"/>
                <w:sz w:val="24"/>
              </w:rPr>
              <w:t>作为合作作者在国际</w:t>
            </w:r>
            <w:r>
              <w:rPr>
                <w:rFonts w:hint="eastAsia"/>
                <w:sz w:val="24"/>
              </w:rPr>
              <w:t>SCI</w:t>
            </w:r>
            <w:r>
              <w:rPr>
                <w:rFonts w:hint="eastAsia"/>
                <w:sz w:val="24"/>
              </w:rPr>
              <w:t>期刊发表研究论文</w:t>
            </w:r>
            <w:r>
              <w:rPr>
                <w:rFonts w:hint="eastAsia"/>
                <w:sz w:val="24"/>
              </w:rPr>
              <w:t>1</w:t>
            </w:r>
            <w:r>
              <w:rPr>
                <w:rFonts w:hint="eastAsia"/>
                <w:sz w:val="24"/>
              </w:rPr>
              <w:t>篇</w:t>
            </w:r>
            <w:r>
              <w:t xml:space="preserve"> </w:t>
            </w:r>
            <w:r>
              <w:rPr>
                <w:rFonts w:hint="eastAsia"/>
              </w:rPr>
              <w:t>(</w:t>
            </w:r>
            <w:r>
              <w:rPr>
                <w:sz w:val="24"/>
                <w:szCs w:val="24"/>
              </w:rPr>
              <w:t>Preparation of Fe promoted MoS</w:t>
            </w:r>
            <w:r>
              <w:rPr>
                <w:sz w:val="24"/>
                <w:szCs w:val="24"/>
                <w:vertAlign w:val="subscript"/>
              </w:rPr>
              <w:t>2</w:t>
            </w:r>
            <w:r>
              <w:rPr>
                <w:sz w:val="24"/>
                <w:szCs w:val="24"/>
              </w:rPr>
              <w:t xml:space="preserve"> catalysts for the hydrodeoxygenation of p-cresol as a model compound of lignin-derived bio-oil, </w:t>
            </w:r>
            <w:r>
              <w:rPr>
                <w:b/>
                <w:bCs/>
                <w:i/>
                <w:iCs/>
                <w:sz w:val="24"/>
                <w:szCs w:val="24"/>
              </w:rPr>
              <w:t>Biomass and Bioenergy</w:t>
            </w:r>
            <w:r>
              <w:rPr>
                <w:sz w:val="24"/>
                <w:szCs w:val="24"/>
              </w:rPr>
              <w:t>, 2019</w:t>
            </w:r>
            <w:r>
              <w:rPr>
                <w:rFonts w:hint="eastAsia"/>
                <w:sz w:val="24"/>
                <w:szCs w:val="24"/>
              </w:rPr>
              <w:t xml:space="preserve">, </w:t>
            </w:r>
            <w:r>
              <w:rPr>
                <w:sz w:val="24"/>
                <w:szCs w:val="24"/>
              </w:rPr>
              <w:t>125: 34–40</w:t>
            </w:r>
            <w:r>
              <w:rPr>
                <w:rFonts w:hint="eastAsia"/>
              </w:rPr>
              <w:t>)</w:t>
            </w:r>
            <w:r>
              <w:rPr>
                <w:rFonts w:hint="eastAsia"/>
                <w:sz w:val="24"/>
              </w:rPr>
              <w:t>。</w:t>
            </w:r>
          </w:p>
        </w:tc>
      </w:tr>
      <w:tr w:rsidR="00961785" w:rsidTr="00922885">
        <w:trPr>
          <w:cantSplit/>
          <w:trHeight w:val="6933"/>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961785" w:rsidRDefault="00056610">
            <w:pPr>
              <w:rPr>
                <w:sz w:val="24"/>
              </w:rPr>
            </w:pPr>
            <w:r>
              <w:rPr>
                <w:sz w:val="24"/>
              </w:rPr>
              <w:t>指导教师承担科研课题情况</w:t>
            </w:r>
          </w:p>
        </w:tc>
        <w:tc>
          <w:tcPr>
            <w:tcW w:w="7020" w:type="dxa"/>
            <w:gridSpan w:val="12"/>
            <w:tcBorders>
              <w:top w:val="single" w:sz="4" w:space="0" w:color="auto"/>
              <w:left w:val="nil"/>
              <w:bottom w:val="single" w:sz="4" w:space="0" w:color="auto"/>
              <w:right w:val="single" w:sz="6" w:space="0" w:color="auto"/>
            </w:tcBorders>
            <w:vAlign w:val="center"/>
          </w:tcPr>
          <w:p w:rsidR="00961785" w:rsidRDefault="00056610" w:rsidP="00056610">
            <w:pPr>
              <w:numPr>
                <w:ilvl w:val="0"/>
                <w:numId w:val="2"/>
              </w:numPr>
              <w:autoSpaceDE w:val="0"/>
              <w:autoSpaceDN w:val="0"/>
              <w:spacing w:beforeLines="50" w:before="156" w:line="300" w:lineRule="auto"/>
              <w:ind w:firstLine="284"/>
              <w:rPr>
                <w:color w:val="000000"/>
                <w:sz w:val="24"/>
                <w:szCs w:val="24"/>
              </w:rPr>
            </w:pPr>
            <w:r>
              <w:rPr>
                <w:color w:val="000000"/>
                <w:sz w:val="24"/>
                <w:szCs w:val="24"/>
              </w:rPr>
              <w:t>国家自然科学基金面上项目，</w:t>
            </w:r>
            <w:r>
              <w:rPr>
                <w:color w:val="000000"/>
                <w:sz w:val="24"/>
                <w:szCs w:val="24"/>
              </w:rPr>
              <w:t>21776236</w:t>
            </w:r>
            <w:r>
              <w:rPr>
                <w:color w:val="000000"/>
                <w:sz w:val="24"/>
                <w:szCs w:val="24"/>
              </w:rPr>
              <w:t>，基于生物质油中酚类化合物低氢耗脱氧双组分硫化物的构筑及性能调控，</w:t>
            </w:r>
            <w:r>
              <w:rPr>
                <w:color w:val="000000"/>
                <w:sz w:val="24"/>
                <w:szCs w:val="24"/>
              </w:rPr>
              <w:t>2018/01-2021/12, 64</w:t>
            </w:r>
            <w:r>
              <w:rPr>
                <w:color w:val="000000"/>
                <w:sz w:val="24"/>
                <w:szCs w:val="24"/>
              </w:rPr>
              <w:t>万元</w:t>
            </w:r>
            <w:r>
              <w:rPr>
                <w:color w:val="000000"/>
                <w:sz w:val="24"/>
                <w:szCs w:val="24"/>
              </w:rPr>
              <w:t xml:space="preserve">, </w:t>
            </w:r>
            <w:r>
              <w:rPr>
                <w:color w:val="000000"/>
                <w:sz w:val="24"/>
                <w:szCs w:val="24"/>
              </w:rPr>
              <w:t>在研</w:t>
            </w:r>
            <w:r>
              <w:rPr>
                <w:color w:val="000000"/>
                <w:sz w:val="24"/>
                <w:szCs w:val="24"/>
              </w:rPr>
              <w:t xml:space="preserve">, </w:t>
            </w:r>
            <w:r>
              <w:rPr>
                <w:color w:val="000000"/>
                <w:sz w:val="24"/>
                <w:szCs w:val="24"/>
              </w:rPr>
              <w:t>主持；</w:t>
            </w:r>
          </w:p>
          <w:p w:rsidR="00961785" w:rsidRDefault="00056610">
            <w:pPr>
              <w:numPr>
                <w:ilvl w:val="0"/>
                <w:numId w:val="2"/>
              </w:numPr>
              <w:autoSpaceDE w:val="0"/>
              <w:autoSpaceDN w:val="0"/>
              <w:spacing w:line="300" w:lineRule="auto"/>
              <w:ind w:firstLine="284"/>
              <w:rPr>
                <w:color w:val="000000"/>
                <w:sz w:val="24"/>
                <w:szCs w:val="24"/>
              </w:rPr>
            </w:pPr>
            <w:r>
              <w:rPr>
                <w:color w:val="000000"/>
                <w:sz w:val="24"/>
                <w:szCs w:val="24"/>
              </w:rPr>
              <w:t>国家自然科学基金青年项目，</w:t>
            </w:r>
            <w:r>
              <w:rPr>
                <w:color w:val="000000"/>
                <w:sz w:val="24"/>
                <w:szCs w:val="24"/>
              </w:rPr>
              <w:t>21306159</w:t>
            </w:r>
            <w:r>
              <w:rPr>
                <w:color w:val="000000"/>
                <w:sz w:val="24"/>
                <w:szCs w:val="24"/>
              </w:rPr>
              <w:t>，高活性双功能</w:t>
            </w:r>
            <w:r>
              <w:rPr>
                <w:color w:val="000000"/>
                <w:sz w:val="24"/>
                <w:szCs w:val="24"/>
              </w:rPr>
              <w:t>Ni-B(P)-WO</w:t>
            </w:r>
            <w:r>
              <w:rPr>
                <w:color w:val="000000"/>
                <w:sz w:val="24"/>
                <w:szCs w:val="24"/>
                <w:vertAlign w:val="subscript"/>
              </w:rPr>
              <w:t>3</w:t>
            </w:r>
            <w:r>
              <w:rPr>
                <w:color w:val="000000"/>
                <w:sz w:val="24"/>
                <w:szCs w:val="24"/>
              </w:rPr>
              <w:t>非晶态催化剂的制备及其催化生物油中酚类化合物加氢脱氧反应研究</w:t>
            </w:r>
            <w:r>
              <w:rPr>
                <w:color w:val="000000"/>
                <w:sz w:val="24"/>
                <w:szCs w:val="24"/>
              </w:rPr>
              <w:t>, 2014/01-2016/12, 25</w:t>
            </w:r>
            <w:r>
              <w:rPr>
                <w:color w:val="000000"/>
                <w:sz w:val="24"/>
                <w:szCs w:val="24"/>
              </w:rPr>
              <w:t>万元</w:t>
            </w:r>
            <w:r>
              <w:rPr>
                <w:color w:val="000000"/>
                <w:sz w:val="24"/>
                <w:szCs w:val="24"/>
              </w:rPr>
              <w:t xml:space="preserve">, </w:t>
            </w:r>
            <w:r>
              <w:rPr>
                <w:color w:val="000000"/>
                <w:sz w:val="24"/>
                <w:szCs w:val="24"/>
              </w:rPr>
              <w:t>已结题</w:t>
            </w:r>
            <w:r>
              <w:rPr>
                <w:color w:val="000000"/>
                <w:sz w:val="24"/>
                <w:szCs w:val="24"/>
              </w:rPr>
              <w:t xml:space="preserve">, </w:t>
            </w:r>
            <w:r>
              <w:rPr>
                <w:color w:val="000000"/>
                <w:sz w:val="24"/>
                <w:szCs w:val="24"/>
              </w:rPr>
              <w:t>主持；</w:t>
            </w:r>
          </w:p>
          <w:p w:rsidR="00961785" w:rsidRDefault="00056610">
            <w:pPr>
              <w:numPr>
                <w:ilvl w:val="0"/>
                <w:numId w:val="2"/>
              </w:numPr>
              <w:autoSpaceDE w:val="0"/>
              <w:autoSpaceDN w:val="0"/>
              <w:spacing w:line="300" w:lineRule="auto"/>
              <w:ind w:firstLine="284"/>
              <w:rPr>
                <w:color w:val="000000"/>
                <w:sz w:val="24"/>
                <w:szCs w:val="24"/>
              </w:rPr>
            </w:pPr>
            <w:r>
              <w:rPr>
                <w:color w:val="000000"/>
                <w:sz w:val="24"/>
                <w:szCs w:val="24"/>
              </w:rPr>
              <w:t>教育部高等学校博士学科点专项科研基金新教师类项目，</w:t>
            </w:r>
            <w:r>
              <w:rPr>
                <w:color w:val="000000"/>
                <w:sz w:val="24"/>
                <w:szCs w:val="24"/>
              </w:rPr>
              <w:t>20124301120009</w:t>
            </w:r>
            <w:r>
              <w:rPr>
                <w:color w:val="000000"/>
                <w:sz w:val="24"/>
                <w:szCs w:val="24"/>
              </w:rPr>
              <w:t>，负载型非晶态催化剂的构筑及催化生物油中酚类含氧化合物加氢脱氧反应研究</w:t>
            </w:r>
            <w:r>
              <w:rPr>
                <w:color w:val="000000"/>
                <w:sz w:val="24"/>
                <w:szCs w:val="24"/>
              </w:rPr>
              <w:t>. 2013.01-2015.12, 4</w:t>
            </w:r>
            <w:r>
              <w:rPr>
                <w:color w:val="000000"/>
                <w:sz w:val="24"/>
                <w:szCs w:val="24"/>
              </w:rPr>
              <w:t>万元</w:t>
            </w:r>
            <w:r>
              <w:rPr>
                <w:color w:val="000000"/>
                <w:sz w:val="24"/>
                <w:szCs w:val="24"/>
              </w:rPr>
              <w:t xml:space="preserve">, </w:t>
            </w:r>
            <w:r>
              <w:rPr>
                <w:color w:val="000000"/>
                <w:sz w:val="24"/>
                <w:szCs w:val="24"/>
              </w:rPr>
              <w:t>已结题</w:t>
            </w:r>
            <w:r>
              <w:rPr>
                <w:color w:val="000000"/>
                <w:sz w:val="24"/>
                <w:szCs w:val="24"/>
              </w:rPr>
              <w:t xml:space="preserve">, </w:t>
            </w:r>
            <w:r>
              <w:rPr>
                <w:color w:val="000000"/>
                <w:sz w:val="24"/>
                <w:szCs w:val="24"/>
              </w:rPr>
              <w:t>主持；</w:t>
            </w:r>
          </w:p>
          <w:p w:rsidR="00961785" w:rsidRDefault="00056610">
            <w:pPr>
              <w:numPr>
                <w:ilvl w:val="0"/>
                <w:numId w:val="2"/>
              </w:numPr>
              <w:autoSpaceDE w:val="0"/>
              <w:autoSpaceDN w:val="0"/>
              <w:spacing w:line="300" w:lineRule="auto"/>
              <w:ind w:firstLine="284"/>
              <w:rPr>
                <w:color w:val="000000"/>
                <w:sz w:val="24"/>
                <w:szCs w:val="24"/>
              </w:rPr>
            </w:pPr>
            <w:r>
              <w:rPr>
                <w:color w:val="000000"/>
                <w:sz w:val="24"/>
                <w:szCs w:val="24"/>
              </w:rPr>
              <w:t>湖南省自然科学基金项目，</w:t>
            </w:r>
            <w:r>
              <w:rPr>
                <w:color w:val="000000"/>
                <w:sz w:val="24"/>
                <w:szCs w:val="24"/>
              </w:rPr>
              <w:t>2018JJ2384</w:t>
            </w:r>
            <w:r>
              <w:rPr>
                <w:color w:val="000000"/>
                <w:sz w:val="24"/>
                <w:szCs w:val="24"/>
              </w:rPr>
              <w:t>，基于酚类化合物直接脱氧双组分催化剂的构筑及性能调控</w:t>
            </w:r>
            <w:r>
              <w:rPr>
                <w:color w:val="000000"/>
                <w:sz w:val="24"/>
                <w:szCs w:val="24"/>
              </w:rPr>
              <w:t>. 2018.01-2020.12, 5</w:t>
            </w:r>
            <w:r>
              <w:rPr>
                <w:color w:val="000000"/>
                <w:sz w:val="24"/>
                <w:szCs w:val="24"/>
              </w:rPr>
              <w:t>万元</w:t>
            </w:r>
            <w:r>
              <w:rPr>
                <w:color w:val="000000"/>
                <w:sz w:val="24"/>
                <w:szCs w:val="24"/>
              </w:rPr>
              <w:t xml:space="preserve">, </w:t>
            </w:r>
            <w:r>
              <w:rPr>
                <w:color w:val="000000"/>
                <w:sz w:val="24"/>
                <w:szCs w:val="24"/>
              </w:rPr>
              <w:t>在研</w:t>
            </w:r>
            <w:r>
              <w:rPr>
                <w:color w:val="000000"/>
                <w:sz w:val="24"/>
                <w:szCs w:val="24"/>
              </w:rPr>
              <w:t xml:space="preserve">, </w:t>
            </w:r>
            <w:r>
              <w:rPr>
                <w:color w:val="000000"/>
                <w:sz w:val="24"/>
                <w:szCs w:val="24"/>
              </w:rPr>
              <w:t>主持；</w:t>
            </w:r>
          </w:p>
          <w:p w:rsidR="00961785" w:rsidRDefault="00056610" w:rsidP="00056610">
            <w:pPr>
              <w:numPr>
                <w:ilvl w:val="0"/>
                <w:numId w:val="2"/>
              </w:numPr>
              <w:autoSpaceDE w:val="0"/>
              <w:autoSpaceDN w:val="0"/>
              <w:spacing w:afterLines="50" w:after="156" w:line="300" w:lineRule="auto"/>
              <w:ind w:firstLine="284"/>
              <w:rPr>
                <w:color w:val="000000"/>
                <w:sz w:val="24"/>
                <w:szCs w:val="24"/>
              </w:rPr>
            </w:pPr>
            <w:r>
              <w:rPr>
                <w:color w:val="000000"/>
                <w:sz w:val="24"/>
                <w:szCs w:val="24"/>
              </w:rPr>
              <w:t>湖南省自然科学基金项目，</w:t>
            </w:r>
            <w:r>
              <w:rPr>
                <w:color w:val="000000"/>
                <w:sz w:val="24"/>
                <w:szCs w:val="24"/>
              </w:rPr>
              <w:t>13JJ4048</w:t>
            </w:r>
            <w:r>
              <w:rPr>
                <w:color w:val="000000"/>
                <w:sz w:val="24"/>
                <w:szCs w:val="24"/>
              </w:rPr>
              <w:t>，非晶态</w:t>
            </w:r>
            <w:r>
              <w:rPr>
                <w:color w:val="000000"/>
                <w:sz w:val="24"/>
                <w:szCs w:val="24"/>
              </w:rPr>
              <w:t>Ni–B(P)/WO3–</w:t>
            </w:r>
            <w:r>
              <w:rPr>
                <w:color w:val="000000"/>
                <w:sz w:val="24"/>
                <w:szCs w:val="24"/>
              </w:rPr>
              <w:t>载体的制备及催化生物油中酚类化合物加氢脱氧反应研究</w:t>
            </w:r>
            <w:r>
              <w:rPr>
                <w:rFonts w:hint="eastAsia"/>
                <w:color w:val="000000"/>
                <w:sz w:val="24"/>
                <w:szCs w:val="24"/>
              </w:rPr>
              <w:t>.</w:t>
            </w:r>
            <w:r>
              <w:rPr>
                <w:color w:val="000000"/>
                <w:sz w:val="24"/>
                <w:szCs w:val="24"/>
              </w:rPr>
              <w:t xml:space="preserve"> 2013.01-2015.12, 4</w:t>
            </w:r>
            <w:r>
              <w:rPr>
                <w:color w:val="000000"/>
                <w:sz w:val="24"/>
                <w:szCs w:val="24"/>
              </w:rPr>
              <w:t>万元</w:t>
            </w:r>
            <w:r>
              <w:rPr>
                <w:color w:val="000000"/>
                <w:sz w:val="24"/>
                <w:szCs w:val="24"/>
              </w:rPr>
              <w:t xml:space="preserve">, </w:t>
            </w:r>
            <w:r>
              <w:rPr>
                <w:color w:val="000000"/>
                <w:sz w:val="24"/>
                <w:szCs w:val="24"/>
              </w:rPr>
              <w:t>已结题</w:t>
            </w:r>
            <w:r>
              <w:rPr>
                <w:color w:val="000000"/>
                <w:sz w:val="24"/>
                <w:szCs w:val="24"/>
              </w:rPr>
              <w:t xml:space="preserve">, </w:t>
            </w:r>
            <w:r>
              <w:rPr>
                <w:color w:val="000000"/>
                <w:sz w:val="24"/>
                <w:szCs w:val="24"/>
              </w:rPr>
              <w:t>主持</w:t>
            </w:r>
          </w:p>
        </w:tc>
      </w:tr>
      <w:tr w:rsidR="00961785" w:rsidTr="00922885">
        <w:trPr>
          <w:cantSplit/>
          <w:trHeight w:val="1266"/>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961785" w:rsidRDefault="00056610">
            <w:pPr>
              <w:rPr>
                <w:sz w:val="24"/>
              </w:rPr>
            </w:pPr>
            <w:r>
              <w:rPr>
                <w:sz w:val="24"/>
              </w:rPr>
              <w:lastRenderedPageBreak/>
              <w:t>指导教师对本项目的支持情况</w:t>
            </w:r>
          </w:p>
        </w:tc>
        <w:tc>
          <w:tcPr>
            <w:tcW w:w="7020" w:type="dxa"/>
            <w:gridSpan w:val="12"/>
            <w:tcBorders>
              <w:top w:val="single" w:sz="4" w:space="0" w:color="auto"/>
              <w:left w:val="nil"/>
              <w:bottom w:val="single" w:sz="4" w:space="0" w:color="auto"/>
              <w:right w:val="single" w:sz="6" w:space="0" w:color="auto"/>
            </w:tcBorders>
            <w:vAlign w:val="center"/>
          </w:tcPr>
          <w:p w:rsidR="00961785" w:rsidRDefault="00056610">
            <w:pPr>
              <w:rPr>
                <w:sz w:val="24"/>
              </w:rPr>
            </w:pPr>
            <w:r>
              <w:rPr>
                <w:rFonts w:hint="eastAsia"/>
                <w:sz w:val="24"/>
              </w:rPr>
              <w:t>指导教师将全力指导</w:t>
            </w:r>
            <w:r>
              <w:rPr>
                <w:sz w:val="24"/>
              </w:rPr>
              <w:t>与</w:t>
            </w:r>
            <w:r>
              <w:rPr>
                <w:rFonts w:hint="eastAsia"/>
                <w:sz w:val="24"/>
              </w:rPr>
              <w:t>支持此项目研究。</w:t>
            </w:r>
          </w:p>
        </w:tc>
      </w:tr>
      <w:tr w:rsidR="00961785" w:rsidTr="00922885">
        <w:tblPrEx>
          <w:tblCellMar>
            <w:left w:w="0" w:type="dxa"/>
            <w:right w:w="0" w:type="dxa"/>
          </w:tblCellMar>
        </w:tblPrEx>
        <w:trPr>
          <w:cantSplit/>
          <w:trHeight w:val="680"/>
          <w:jc w:val="center"/>
        </w:trPr>
        <w:tc>
          <w:tcPr>
            <w:tcW w:w="420" w:type="dxa"/>
            <w:vMerge w:val="restart"/>
            <w:tcBorders>
              <w:top w:val="single" w:sz="4" w:space="0" w:color="auto"/>
              <w:left w:val="single" w:sz="4" w:space="0" w:color="auto"/>
              <w:bottom w:val="single" w:sz="4" w:space="0" w:color="auto"/>
              <w:right w:val="nil"/>
            </w:tcBorders>
            <w:vAlign w:val="center"/>
          </w:tcPr>
          <w:p w:rsidR="00961785" w:rsidRDefault="00056610">
            <w:pPr>
              <w:jc w:val="center"/>
              <w:rPr>
                <w:sz w:val="24"/>
              </w:rPr>
            </w:pPr>
            <w:r>
              <w:rPr>
                <w:sz w:val="24"/>
              </w:rPr>
              <w:t>项</w:t>
            </w:r>
          </w:p>
          <w:p w:rsidR="00961785" w:rsidRDefault="00056610">
            <w:pPr>
              <w:jc w:val="center"/>
              <w:rPr>
                <w:sz w:val="24"/>
              </w:rPr>
            </w:pPr>
            <w:r>
              <w:rPr>
                <w:sz w:val="24"/>
              </w:rPr>
              <w:t>目</w:t>
            </w:r>
          </w:p>
          <w:p w:rsidR="00961785" w:rsidRDefault="00056610">
            <w:pPr>
              <w:jc w:val="center"/>
              <w:rPr>
                <w:sz w:val="24"/>
              </w:rPr>
            </w:pPr>
            <w:r>
              <w:rPr>
                <w:sz w:val="24"/>
              </w:rPr>
              <w:t>组</w:t>
            </w:r>
          </w:p>
          <w:p w:rsidR="00961785" w:rsidRDefault="00056610">
            <w:pPr>
              <w:jc w:val="center"/>
              <w:rPr>
                <w:sz w:val="24"/>
              </w:rPr>
            </w:pPr>
            <w:r>
              <w:rPr>
                <w:sz w:val="24"/>
              </w:rPr>
              <w:t>主</w:t>
            </w:r>
          </w:p>
          <w:p w:rsidR="00961785" w:rsidRDefault="00056610">
            <w:pPr>
              <w:jc w:val="center"/>
              <w:rPr>
                <w:sz w:val="24"/>
              </w:rPr>
            </w:pPr>
            <w:r>
              <w:rPr>
                <w:sz w:val="24"/>
              </w:rPr>
              <w:t>要</w:t>
            </w:r>
          </w:p>
          <w:p w:rsidR="00961785" w:rsidRDefault="00056610">
            <w:pPr>
              <w:jc w:val="center"/>
              <w:rPr>
                <w:sz w:val="24"/>
              </w:rPr>
            </w:pPr>
            <w:r>
              <w:rPr>
                <w:sz w:val="24"/>
              </w:rPr>
              <w:t>成</w:t>
            </w:r>
          </w:p>
          <w:p w:rsidR="00961785" w:rsidRDefault="00056610">
            <w:pPr>
              <w:jc w:val="center"/>
              <w:rPr>
                <w:sz w:val="24"/>
              </w:rPr>
            </w:pPr>
            <w:r>
              <w:rPr>
                <w:sz w:val="24"/>
              </w:rPr>
              <w:t>员</w:t>
            </w: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sz w:val="24"/>
              </w:rPr>
            </w:pPr>
            <w:r>
              <w:rPr>
                <w:sz w:val="24"/>
              </w:rPr>
              <w:t>姓</w:t>
            </w:r>
            <w:r w:rsidR="00922885">
              <w:rPr>
                <w:sz w:val="24"/>
              </w:rPr>
              <w:t xml:space="preserve"> </w:t>
            </w:r>
            <w:r>
              <w:rPr>
                <w:sz w:val="24"/>
              </w:rPr>
              <w:t xml:space="preserve"> </w:t>
            </w:r>
            <w:r>
              <w:rPr>
                <w:sz w:val="24"/>
              </w:rPr>
              <w:t>名</w:t>
            </w:r>
          </w:p>
        </w:tc>
        <w:tc>
          <w:tcPr>
            <w:tcW w:w="1566"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学号</w:t>
            </w:r>
          </w:p>
        </w:tc>
        <w:tc>
          <w:tcPr>
            <w:tcW w:w="1843" w:type="dxa"/>
            <w:gridSpan w:val="4"/>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专业班级</w:t>
            </w:r>
          </w:p>
        </w:tc>
        <w:tc>
          <w:tcPr>
            <w:tcW w:w="1312" w:type="dxa"/>
            <w:gridSpan w:val="2"/>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所在学院</w:t>
            </w:r>
          </w:p>
        </w:tc>
        <w:tc>
          <w:tcPr>
            <w:tcW w:w="2299"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项目中的分工</w:t>
            </w:r>
          </w:p>
        </w:tc>
      </w:tr>
      <w:tr w:rsidR="00961785" w:rsidTr="00922885">
        <w:tblPrEx>
          <w:tblCellMar>
            <w:left w:w="0" w:type="dxa"/>
            <w:right w:w="0" w:type="dxa"/>
          </w:tblCellMar>
        </w:tblPrEx>
        <w:trPr>
          <w:cantSplit/>
          <w:trHeight w:val="846"/>
          <w:jc w:val="center"/>
        </w:trPr>
        <w:tc>
          <w:tcPr>
            <w:tcW w:w="420" w:type="dxa"/>
            <w:vMerge/>
            <w:tcBorders>
              <w:top w:val="nil"/>
              <w:left w:val="single" w:sz="4" w:space="0" w:color="auto"/>
              <w:bottom w:val="single" w:sz="4" w:space="0" w:color="auto"/>
              <w:right w:val="nil"/>
            </w:tcBorders>
            <w:vAlign w:val="center"/>
          </w:tcPr>
          <w:p w:rsidR="00961785" w:rsidRDefault="00961785">
            <w:pPr>
              <w:spacing w:line="240" w:lineRule="atLeast"/>
              <w:jc w:val="center"/>
              <w:rPr>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sz w:val="24"/>
              </w:rPr>
            </w:pPr>
            <w:r>
              <w:rPr>
                <w:sz w:val="24"/>
              </w:rPr>
              <w:t>宁昱晴</w:t>
            </w:r>
          </w:p>
        </w:tc>
        <w:tc>
          <w:tcPr>
            <w:tcW w:w="1566"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201705650326</w:t>
            </w:r>
          </w:p>
        </w:tc>
        <w:tc>
          <w:tcPr>
            <w:tcW w:w="1843" w:type="dxa"/>
            <w:gridSpan w:val="4"/>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w:t>
            </w:r>
            <w:r>
              <w:rPr>
                <w:sz w:val="24"/>
              </w:rPr>
              <w:t>级化学工程与工艺</w:t>
            </w:r>
            <w:r>
              <w:rPr>
                <w:sz w:val="24"/>
              </w:rPr>
              <w:t>3</w:t>
            </w:r>
            <w:r>
              <w:rPr>
                <w:sz w:val="24"/>
              </w:rPr>
              <w:t>班</w:t>
            </w:r>
          </w:p>
        </w:tc>
        <w:tc>
          <w:tcPr>
            <w:tcW w:w="1312" w:type="dxa"/>
            <w:gridSpan w:val="2"/>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化工学院</w:t>
            </w:r>
          </w:p>
        </w:tc>
        <w:tc>
          <w:tcPr>
            <w:tcW w:w="2299"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rFonts w:hint="eastAsia"/>
                <w:sz w:val="24"/>
              </w:rPr>
              <w:t>催化剂的制备</w:t>
            </w:r>
          </w:p>
        </w:tc>
      </w:tr>
      <w:tr w:rsidR="00961785" w:rsidTr="00922885">
        <w:tblPrEx>
          <w:tblCellMar>
            <w:left w:w="0" w:type="dxa"/>
            <w:right w:w="0" w:type="dxa"/>
          </w:tblCellMar>
        </w:tblPrEx>
        <w:trPr>
          <w:cantSplit/>
          <w:trHeight w:val="844"/>
          <w:jc w:val="center"/>
        </w:trPr>
        <w:tc>
          <w:tcPr>
            <w:tcW w:w="420" w:type="dxa"/>
            <w:vMerge/>
            <w:tcBorders>
              <w:top w:val="nil"/>
              <w:left w:val="single" w:sz="4" w:space="0" w:color="auto"/>
              <w:bottom w:val="single" w:sz="4" w:space="0" w:color="auto"/>
              <w:right w:val="nil"/>
            </w:tcBorders>
            <w:vAlign w:val="center"/>
          </w:tcPr>
          <w:p w:rsidR="00961785" w:rsidRDefault="00961785">
            <w:pPr>
              <w:jc w:val="center"/>
              <w:rPr>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sz w:val="24"/>
              </w:rPr>
            </w:pPr>
            <w:r>
              <w:rPr>
                <w:sz w:val="24"/>
              </w:rPr>
              <w:t>亓慧杰</w:t>
            </w:r>
          </w:p>
        </w:tc>
        <w:tc>
          <w:tcPr>
            <w:tcW w:w="1566"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201705650306</w:t>
            </w:r>
          </w:p>
        </w:tc>
        <w:tc>
          <w:tcPr>
            <w:tcW w:w="1843" w:type="dxa"/>
            <w:gridSpan w:val="4"/>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w:t>
            </w:r>
            <w:r>
              <w:rPr>
                <w:sz w:val="24"/>
              </w:rPr>
              <w:t>级化学工程与工艺</w:t>
            </w:r>
            <w:r>
              <w:rPr>
                <w:sz w:val="24"/>
              </w:rPr>
              <w:t>3</w:t>
            </w:r>
            <w:r>
              <w:rPr>
                <w:sz w:val="24"/>
              </w:rPr>
              <w:t>班</w:t>
            </w:r>
          </w:p>
        </w:tc>
        <w:tc>
          <w:tcPr>
            <w:tcW w:w="1312" w:type="dxa"/>
            <w:gridSpan w:val="2"/>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化工学院</w:t>
            </w:r>
          </w:p>
        </w:tc>
        <w:tc>
          <w:tcPr>
            <w:tcW w:w="2299"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rFonts w:hint="eastAsia"/>
                <w:sz w:val="24"/>
              </w:rPr>
              <w:t>催化剂表征分析研究</w:t>
            </w:r>
          </w:p>
        </w:tc>
      </w:tr>
      <w:tr w:rsidR="00961785" w:rsidTr="00922885">
        <w:tblPrEx>
          <w:tblCellMar>
            <w:left w:w="0" w:type="dxa"/>
            <w:right w:w="0" w:type="dxa"/>
          </w:tblCellMar>
        </w:tblPrEx>
        <w:trPr>
          <w:cantSplit/>
          <w:trHeight w:val="841"/>
          <w:jc w:val="center"/>
        </w:trPr>
        <w:tc>
          <w:tcPr>
            <w:tcW w:w="420" w:type="dxa"/>
            <w:vMerge/>
            <w:tcBorders>
              <w:top w:val="nil"/>
              <w:left w:val="single" w:sz="4" w:space="0" w:color="auto"/>
              <w:bottom w:val="single" w:sz="4" w:space="0" w:color="auto"/>
              <w:right w:val="nil"/>
            </w:tcBorders>
            <w:vAlign w:val="center"/>
          </w:tcPr>
          <w:p w:rsidR="00961785" w:rsidRDefault="00961785">
            <w:pPr>
              <w:jc w:val="center"/>
              <w:rPr>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sz w:val="24"/>
              </w:rPr>
            </w:pPr>
            <w:r>
              <w:rPr>
                <w:sz w:val="24"/>
              </w:rPr>
              <w:t>罗凯悦</w:t>
            </w:r>
          </w:p>
        </w:tc>
        <w:tc>
          <w:tcPr>
            <w:tcW w:w="1566"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201705650330</w:t>
            </w:r>
          </w:p>
        </w:tc>
        <w:tc>
          <w:tcPr>
            <w:tcW w:w="1843" w:type="dxa"/>
            <w:gridSpan w:val="4"/>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w:t>
            </w:r>
            <w:r>
              <w:rPr>
                <w:sz w:val="24"/>
              </w:rPr>
              <w:t>级化学工程与工艺</w:t>
            </w:r>
            <w:r>
              <w:rPr>
                <w:sz w:val="24"/>
              </w:rPr>
              <w:t>3</w:t>
            </w:r>
            <w:r>
              <w:rPr>
                <w:sz w:val="24"/>
              </w:rPr>
              <w:t>班</w:t>
            </w:r>
          </w:p>
        </w:tc>
        <w:tc>
          <w:tcPr>
            <w:tcW w:w="1312" w:type="dxa"/>
            <w:gridSpan w:val="2"/>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化工学院</w:t>
            </w:r>
          </w:p>
        </w:tc>
        <w:tc>
          <w:tcPr>
            <w:tcW w:w="2299"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催化剂的性能测试</w:t>
            </w:r>
          </w:p>
        </w:tc>
      </w:tr>
      <w:tr w:rsidR="00961785" w:rsidTr="00922885">
        <w:tblPrEx>
          <w:tblCellMar>
            <w:left w:w="0" w:type="dxa"/>
            <w:right w:w="0" w:type="dxa"/>
          </w:tblCellMar>
        </w:tblPrEx>
        <w:trPr>
          <w:cantSplit/>
          <w:trHeight w:val="712"/>
          <w:jc w:val="center"/>
        </w:trPr>
        <w:tc>
          <w:tcPr>
            <w:tcW w:w="420" w:type="dxa"/>
            <w:vMerge/>
            <w:tcBorders>
              <w:top w:val="nil"/>
              <w:left w:val="single" w:sz="4" w:space="0" w:color="auto"/>
              <w:bottom w:val="single" w:sz="4" w:space="0" w:color="auto"/>
              <w:right w:val="nil"/>
            </w:tcBorders>
            <w:vAlign w:val="center"/>
          </w:tcPr>
          <w:p w:rsidR="00961785" w:rsidRDefault="00961785">
            <w:pPr>
              <w:jc w:val="center"/>
              <w:rPr>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sz w:val="24"/>
              </w:rPr>
            </w:pPr>
            <w:r>
              <w:rPr>
                <w:sz w:val="24"/>
              </w:rPr>
              <w:t>彭</w:t>
            </w:r>
            <w:r>
              <w:rPr>
                <w:rFonts w:hint="eastAsia"/>
                <w:sz w:val="24"/>
              </w:rPr>
              <w:t>佩琦</w:t>
            </w:r>
          </w:p>
        </w:tc>
        <w:tc>
          <w:tcPr>
            <w:tcW w:w="1566"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201705650323</w:t>
            </w:r>
          </w:p>
        </w:tc>
        <w:tc>
          <w:tcPr>
            <w:tcW w:w="1843" w:type="dxa"/>
            <w:gridSpan w:val="4"/>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2017</w:t>
            </w:r>
            <w:r>
              <w:rPr>
                <w:sz w:val="24"/>
              </w:rPr>
              <w:t>级化学工程与工艺</w:t>
            </w:r>
            <w:r>
              <w:rPr>
                <w:sz w:val="24"/>
              </w:rPr>
              <w:t>3</w:t>
            </w:r>
            <w:r>
              <w:rPr>
                <w:sz w:val="24"/>
              </w:rPr>
              <w:t>班</w:t>
            </w:r>
          </w:p>
        </w:tc>
        <w:tc>
          <w:tcPr>
            <w:tcW w:w="1312" w:type="dxa"/>
            <w:gridSpan w:val="2"/>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sz w:val="24"/>
              </w:rPr>
              <w:t>化工学院</w:t>
            </w:r>
          </w:p>
        </w:tc>
        <w:tc>
          <w:tcPr>
            <w:tcW w:w="2299" w:type="dxa"/>
            <w:gridSpan w:val="3"/>
            <w:tcBorders>
              <w:top w:val="single" w:sz="4" w:space="0" w:color="auto"/>
              <w:left w:val="nil"/>
              <w:bottom w:val="single" w:sz="4" w:space="0" w:color="auto"/>
              <w:right w:val="single" w:sz="4" w:space="0" w:color="auto"/>
            </w:tcBorders>
            <w:vAlign w:val="center"/>
          </w:tcPr>
          <w:p w:rsidR="00961785" w:rsidRDefault="00056610">
            <w:pPr>
              <w:jc w:val="center"/>
              <w:rPr>
                <w:sz w:val="24"/>
              </w:rPr>
            </w:pPr>
            <w:r>
              <w:rPr>
                <w:rFonts w:hint="eastAsia"/>
                <w:sz w:val="24"/>
              </w:rPr>
              <w:t>反应动力学研究</w:t>
            </w:r>
          </w:p>
        </w:tc>
      </w:tr>
    </w:tbl>
    <w:p w:rsidR="00961785" w:rsidRDefault="00961785" w:rsidP="00056610">
      <w:pPr>
        <w:tabs>
          <w:tab w:val="left" w:pos="552"/>
          <w:tab w:val="left" w:pos="720"/>
          <w:tab w:val="left" w:pos="1544"/>
        </w:tabs>
        <w:spacing w:beforeLines="50" w:before="156" w:afterLines="50" w:after="156" w:line="300" w:lineRule="auto"/>
        <w:ind w:right="567"/>
        <w:rPr>
          <w:rFonts w:eastAsia="黑体"/>
          <w:bCs/>
          <w:sz w:val="28"/>
        </w:rPr>
      </w:pPr>
    </w:p>
    <w:p w:rsidR="00961785" w:rsidRDefault="00056610">
      <w:pPr>
        <w:widowControl/>
        <w:jc w:val="left"/>
        <w:rPr>
          <w:rFonts w:eastAsia="黑体"/>
          <w:bCs/>
          <w:sz w:val="28"/>
        </w:rPr>
      </w:pPr>
      <w:r>
        <w:rPr>
          <w:rFonts w:eastAsia="黑体"/>
          <w:bCs/>
          <w:sz w:val="28"/>
        </w:rPr>
        <w:br w:type="page"/>
      </w:r>
    </w:p>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lastRenderedPageBreak/>
        <w:t>立项依据（可加页）</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5"/>
      </w:tblGrid>
      <w:tr w:rsidR="00961785" w:rsidTr="00922885">
        <w:trPr>
          <w:trHeight w:val="6400"/>
          <w:jc w:val="center"/>
        </w:trPr>
        <w:tc>
          <w:tcPr>
            <w:tcW w:w="8715" w:type="dxa"/>
          </w:tcPr>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项目简介</w:t>
            </w:r>
          </w:p>
          <w:p w:rsidR="00961785" w:rsidRDefault="00056610" w:rsidP="00922885">
            <w:pPr>
              <w:tabs>
                <w:tab w:val="left" w:pos="792"/>
              </w:tabs>
              <w:snapToGrid w:val="0"/>
              <w:spacing w:line="324" w:lineRule="auto"/>
              <w:ind w:firstLineChars="200" w:firstLine="480"/>
              <w:rPr>
                <w:rFonts w:eastAsia="FangSong"/>
                <w:sz w:val="24"/>
                <w:szCs w:val="24"/>
              </w:rPr>
            </w:pPr>
            <w:r>
              <w:rPr>
                <w:sz w:val="24"/>
                <w:szCs w:val="24"/>
              </w:rPr>
              <w:t>社会发展和人类进步的道路上一直离不开化石能源的支持。然而，化石能源为非可再生资源，储量有限，且化石能源的日益枯竭及其利用过程带来的环境污染等问题的出现，寻找新型化石能源替代资源已经受到了全世界的广泛关注。其中，生物油被认为是最有潜力和最理想的可再生替代能源。然而，生物质油中含有大量含氧化合物，这会带来一系列弊端。因此，需要通过催化加氢脱氧</w:t>
            </w:r>
            <w:r>
              <w:rPr>
                <w:rFonts w:hint="eastAsia"/>
                <w:sz w:val="24"/>
                <w:szCs w:val="24"/>
              </w:rPr>
              <w:t>（</w:t>
            </w:r>
            <w:r>
              <w:rPr>
                <w:sz w:val="24"/>
                <w:szCs w:val="24"/>
              </w:rPr>
              <w:t>Hydro-deoxygenation</w:t>
            </w:r>
            <w:r>
              <w:rPr>
                <w:sz w:val="24"/>
                <w:szCs w:val="24"/>
              </w:rPr>
              <w:t>，</w:t>
            </w:r>
            <w:r>
              <w:rPr>
                <w:sz w:val="24"/>
                <w:szCs w:val="24"/>
              </w:rPr>
              <w:t>HDO</w:t>
            </w:r>
            <w:r>
              <w:rPr>
                <w:rFonts w:hint="eastAsia"/>
                <w:sz w:val="24"/>
                <w:szCs w:val="24"/>
              </w:rPr>
              <w:t>）技术</w:t>
            </w:r>
            <w:r>
              <w:rPr>
                <w:sz w:val="24"/>
                <w:szCs w:val="24"/>
              </w:rPr>
              <w:t>来降低生物油中的含氧量，提高油品的品质。</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研究目的</w:t>
            </w:r>
          </w:p>
          <w:p w:rsidR="00961785" w:rsidRDefault="00056610" w:rsidP="00922885">
            <w:pPr>
              <w:snapToGrid w:val="0"/>
              <w:spacing w:line="324" w:lineRule="auto"/>
              <w:ind w:firstLineChars="200" w:firstLine="480"/>
              <w:rPr>
                <w:b/>
                <w:bCs/>
                <w:sz w:val="24"/>
                <w:szCs w:val="24"/>
              </w:rPr>
            </w:pPr>
            <w:r>
              <w:rPr>
                <w:sz w:val="24"/>
                <w:szCs w:val="24"/>
              </w:rPr>
              <w:t>生物质油中含有大量含氧化合物，如酚、醛、酮、醇、酯、醚、呋喃和酸等，导致其含氧量过高，高含氧量不仅会降低生物油的燃烧热值，导致混合油品的乳化和分层，还会造成生物油粘度高，稳定性差，腐蚀设备等问题，需要通过催化加氢脱氧（</w:t>
            </w:r>
            <w:r>
              <w:rPr>
                <w:sz w:val="24"/>
                <w:szCs w:val="24"/>
              </w:rPr>
              <w:t>Hydrodeoxygenation</w:t>
            </w:r>
            <w:r>
              <w:rPr>
                <w:sz w:val="24"/>
                <w:szCs w:val="24"/>
              </w:rPr>
              <w:t>，</w:t>
            </w:r>
            <w:r>
              <w:rPr>
                <w:sz w:val="24"/>
                <w:szCs w:val="24"/>
              </w:rPr>
              <w:t>HDO</w:t>
            </w:r>
            <w:r>
              <w:rPr>
                <w:sz w:val="24"/>
                <w:szCs w:val="24"/>
              </w:rPr>
              <w:t>）手段来降低生物油中的含氧量，提高油品的品质。众所周知，生物油中含氧化合物</w:t>
            </w:r>
            <w:r>
              <w:rPr>
                <w:sz w:val="24"/>
                <w:szCs w:val="24"/>
              </w:rPr>
              <w:t>HDO</w:t>
            </w:r>
            <w:r>
              <w:rPr>
                <w:sz w:val="24"/>
                <w:szCs w:val="24"/>
              </w:rPr>
              <w:t>反应需要在一定的温度和氢气压力下才能进行，良好的催化剂能够有效提高生物油中含氧物质</w:t>
            </w:r>
            <w:r>
              <w:rPr>
                <w:sz w:val="24"/>
                <w:szCs w:val="24"/>
              </w:rPr>
              <w:t>HDO</w:t>
            </w:r>
            <w:r>
              <w:rPr>
                <w:sz w:val="24"/>
                <w:szCs w:val="24"/>
              </w:rPr>
              <w:t>反应速率，从而减少反应过程中的热量损失，降低工业生产成本，促进生物油的规模化利用进程。因此，研制高效</w:t>
            </w:r>
            <w:r>
              <w:rPr>
                <w:sz w:val="24"/>
                <w:szCs w:val="24"/>
              </w:rPr>
              <w:t>HDO</w:t>
            </w:r>
            <w:r>
              <w:rPr>
                <w:sz w:val="24"/>
                <w:szCs w:val="24"/>
              </w:rPr>
              <w:t>催化剂是发展生物油的关键问题所在。</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研究内容</w:t>
            </w:r>
          </w:p>
          <w:p w:rsidR="00961785" w:rsidRDefault="00056610" w:rsidP="00922885">
            <w:pPr>
              <w:pStyle w:val="duanluo"/>
              <w:snapToGrid w:val="0"/>
              <w:spacing w:line="324" w:lineRule="auto"/>
              <w:ind w:leftChars="0" w:left="0" w:rightChars="0" w:right="0" w:firstLine="480"/>
              <w:rPr>
                <w:rFonts w:eastAsia="宋体"/>
                <w:szCs w:val="24"/>
              </w:rPr>
            </w:pPr>
            <w:r>
              <w:rPr>
                <w:rFonts w:eastAsia="宋体"/>
                <w:szCs w:val="24"/>
              </w:rPr>
              <w:t>本项目主要依据二硫化钼催化加氢脱氧现有的</w:t>
            </w:r>
            <w:r>
              <w:rPr>
                <w:rFonts w:eastAsia="宋体"/>
                <w:szCs w:val="24"/>
              </w:rPr>
              <w:t>Rim-Edge</w:t>
            </w:r>
            <w:r>
              <w:rPr>
                <w:rFonts w:eastAsia="宋体"/>
                <w:szCs w:val="24"/>
              </w:rPr>
              <w:t>模型，制备</w:t>
            </w:r>
            <w:r>
              <w:rPr>
                <w:rFonts w:eastAsia="宋体"/>
                <w:szCs w:val="24"/>
              </w:rPr>
              <w:t>Worm-Like</w:t>
            </w:r>
            <w:r>
              <w:rPr>
                <w:rFonts w:eastAsia="宋体"/>
                <w:szCs w:val="24"/>
              </w:rPr>
              <w:t>二硫化钼催化剂，根据催化剂</w:t>
            </w:r>
            <w:r>
              <w:rPr>
                <w:rFonts w:eastAsia="宋体"/>
                <w:szCs w:val="24"/>
              </w:rPr>
              <w:t>HDO</w:t>
            </w:r>
            <w:r>
              <w:rPr>
                <w:rFonts w:eastAsia="宋体"/>
                <w:szCs w:val="24"/>
              </w:rPr>
              <w:t>活性测试结果与催化剂结构表征数据，揭示催化剂的</w:t>
            </w:r>
            <w:r>
              <w:rPr>
                <w:rFonts w:eastAsia="宋体"/>
                <w:szCs w:val="24"/>
              </w:rPr>
              <w:t>“</w:t>
            </w:r>
            <w:r>
              <w:rPr>
                <w:rFonts w:eastAsia="宋体"/>
                <w:szCs w:val="24"/>
              </w:rPr>
              <w:t>构</w:t>
            </w:r>
            <w:r>
              <w:rPr>
                <w:rFonts w:eastAsia="宋体"/>
                <w:szCs w:val="24"/>
              </w:rPr>
              <w:t>–</w:t>
            </w:r>
            <w:r>
              <w:rPr>
                <w:rFonts w:eastAsia="宋体"/>
                <w:szCs w:val="24"/>
              </w:rPr>
              <w:t>效</w:t>
            </w:r>
            <w:r>
              <w:rPr>
                <w:rFonts w:eastAsia="宋体"/>
                <w:szCs w:val="24"/>
              </w:rPr>
              <w:t>”</w:t>
            </w:r>
            <w:r>
              <w:rPr>
                <w:rFonts w:eastAsia="宋体"/>
                <w:szCs w:val="24"/>
              </w:rPr>
              <w:t>关系与催化反应机理。具体如下：</w:t>
            </w:r>
          </w:p>
          <w:p w:rsidR="00961785" w:rsidRDefault="00056610" w:rsidP="00922885">
            <w:pPr>
              <w:pStyle w:val="duanluo"/>
              <w:snapToGrid w:val="0"/>
              <w:spacing w:line="324" w:lineRule="auto"/>
              <w:ind w:leftChars="0" w:left="0" w:rightChars="0" w:right="0" w:firstLine="480"/>
              <w:rPr>
                <w:rFonts w:eastAsia="宋体"/>
                <w:szCs w:val="24"/>
              </w:rPr>
            </w:pPr>
            <w:r>
              <w:rPr>
                <w:rFonts w:eastAsia="宋体"/>
                <w:szCs w:val="24"/>
              </w:rPr>
              <w:t xml:space="preserve">(1) </w:t>
            </w:r>
            <w:r>
              <w:rPr>
                <w:rFonts w:eastAsia="宋体"/>
                <w:szCs w:val="24"/>
              </w:rPr>
              <w:t>通过在反应过程中添加模版剂，制备低耗氢、良好脱氧活性的</w:t>
            </w:r>
            <w:r>
              <w:rPr>
                <w:rFonts w:eastAsia="宋体"/>
                <w:szCs w:val="24"/>
              </w:rPr>
              <w:t>MoS</w:t>
            </w:r>
            <w:r>
              <w:rPr>
                <w:rFonts w:eastAsia="宋体"/>
                <w:szCs w:val="24"/>
                <w:vertAlign w:val="subscript"/>
              </w:rPr>
              <w:t>2</w:t>
            </w:r>
            <w:r>
              <w:rPr>
                <w:rFonts w:eastAsia="宋体"/>
                <w:szCs w:val="24"/>
              </w:rPr>
              <w:t>催化剂。通过改变制备过程中反应参数制备出具有不同形貌的二硫化钼催化剂，利用</w:t>
            </w:r>
            <w:r>
              <w:rPr>
                <w:rFonts w:eastAsia="宋体"/>
                <w:szCs w:val="24"/>
              </w:rPr>
              <w:t>X–</w:t>
            </w:r>
            <w:r>
              <w:rPr>
                <w:rFonts w:eastAsia="宋体"/>
                <w:szCs w:val="24"/>
              </w:rPr>
              <w:t>射线衍射仪、扫描电子显微镜、透射电子显微镜、物理化学吸附仪和</w:t>
            </w:r>
            <w:r>
              <w:rPr>
                <w:rFonts w:eastAsia="宋体"/>
                <w:szCs w:val="24"/>
              </w:rPr>
              <w:t>X–</w:t>
            </w:r>
            <w:r>
              <w:rPr>
                <w:rFonts w:eastAsia="宋体"/>
                <w:szCs w:val="24"/>
              </w:rPr>
              <w:t>射线光电子能谱仪等表征分析催化剂的颗粒尺寸、微观形貌、比表面积和元素价态等。</w:t>
            </w:r>
          </w:p>
          <w:p w:rsidR="00961785" w:rsidRDefault="00056610" w:rsidP="00922885">
            <w:pPr>
              <w:pStyle w:val="duanluo"/>
              <w:snapToGrid w:val="0"/>
              <w:spacing w:line="324" w:lineRule="auto"/>
              <w:ind w:leftChars="0" w:left="0" w:rightChars="0" w:right="0" w:firstLine="480"/>
              <w:rPr>
                <w:rFonts w:eastAsia="宋体"/>
                <w:szCs w:val="24"/>
              </w:rPr>
            </w:pPr>
            <w:r>
              <w:rPr>
                <w:rFonts w:eastAsia="宋体"/>
                <w:szCs w:val="24"/>
              </w:rPr>
              <w:t>(2) Worm-Like</w:t>
            </w:r>
            <w:r>
              <w:rPr>
                <w:rFonts w:eastAsia="宋体"/>
                <w:szCs w:val="24"/>
              </w:rPr>
              <w:t>二硫化钼催化剂</w:t>
            </w:r>
            <w:r>
              <w:rPr>
                <w:rFonts w:eastAsia="宋体"/>
                <w:szCs w:val="24"/>
              </w:rPr>
              <w:t>HDO</w:t>
            </w:r>
            <w:r>
              <w:rPr>
                <w:rFonts w:eastAsia="宋体"/>
                <w:szCs w:val="24"/>
              </w:rPr>
              <w:t>性能研究。以生物质油中典型酚类含氧化合物对甲基苯酚的</w:t>
            </w:r>
            <w:r>
              <w:rPr>
                <w:rFonts w:eastAsia="宋体"/>
                <w:szCs w:val="24"/>
              </w:rPr>
              <w:t>HDO</w:t>
            </w:r>
            <w:r>
              <w:rPr>
                <w:rFonts w:eastAsia="宋体"/>
                <w:szCs w:val="24"/>
              </w:rPr>
              <w:t>反应为探针，在迥转式快开反应釜中研究所制备催化剂</w:t>
            </w:r>
            <w:r>
              <w:rPr>
                <w:rFonts w:eastAsia="宋体"/>
                <w:szCs w:val="24"/>
              </w:rPr>
              <w:lastRenderedPageBreak/>
              <w:t>的催化活性，利用气质联用色谱仪（</w:t>
            </w:r>
            <w:r>
              <w:rPr>
                <w:rFonts w:eastAsia="宋体"/>
                <w:szCs w:val="24"/>
              </w:rPr>
              <w:t>GC–MS</w:t>
            </w:r>
            <w:r>
              <w:rPr>
                <w:rFonts w:eastAsia="宋体"/>
                <w:szCs w:val="24"/>
              </w:rPr>
              <w:t>）和气相色谱仪（</w:t>
            </w:r>
            <w:r>
              <w:rPr>
                <w:rFonts w:eastAsia="宋体"/>
                <w:szCs w:val="24"/>
              </w:rPr>
              <w:t>GC</w:t>
            </w:r>
            <w:r>
              <w:rPr>
                <w:rFonts w:eastAsia="宋体"/>
                <w:szCs w:val="24"/>
              </w:rPr>
              <w:t>）鉴定产物和分析产物组成，计算相应转化率、产物选择性，脱氧率以及直接脱氧选择性，并研究不同制备条件对催化剂催化反应物脱氧率、直接脱氧产物选择性等的影响规律。</w:t>
            </w:r>
          </w:p>
          <w:p w:rsidR="00961785" w:rsidRDefault="00056610" w:rsidP="00922885">
            <w:pPr>
              <w:pStyle w:val="duanluo"/>
              <w:snapToGrid w:val="0"/>
              <w:spacing w:line="336" w:lineRule="auto"/>
              <w:ind w:leftChars="0" w:left="0" w:rightChars="0" w:right="0" w:firstLine="480"/>
              <w:rPr>
                <w:rFonts w:eastAsia="宋体"/>
                <w:szCs w:val="24"/>
              </w:rPr>
            </w:pPr>
            <w:r>
              <w:rPr>
                <w:rFonts w:eastAsia="宋体"/>
                <w:szCs w:val="24"/>
              </w:rPr>
              <w:t xml:space="preserve">(3) </w:t>
            </w:r>
            <w:r>
              <w:rPr>
                <w:rFonts w:eastAsia="宋体"/>
                <w:szCs w:val="24"/>
              </w:rPr>
              <w:t>根据</w:t>
            </w:r>
            <w:r>
              <w:rPr>
                <w:rFonts w:eastAsia="宋体"/>
                <w:szCs w:val="24"/>
              </w:rPr>
              <w:t>Worm-Like</w:t>
            </w:r>
            <w:r>
              <w:rPr>
                <w:rFonts w:eastAsia="宋体"/>
                <w:szCs w:val="24"/>
              </w:rPr>
              <w:t>二硫化钼催化剂表征分析结果，对比分析酚类化合物在不同结构、不同形貌催化剂上的</w:t>
            </w:r>
            <w:r>
              <w:rPr>
                <w:rFonts w:eastAsia="宋体"/>
                <w:szCs w:val="24"/>
              </w:rPr>
              <w:t>HDO</w:t>
            </w:r>
            <w:r>
              <w:rPr>
                <w:rFonts w:eastAsia="宋体"/>
                <w:szCs w:val="24"/>
              </w:rPr>
              <w:t>情况，揭示硫化物催化剂结构形貌与催化活性之间的内在关系，构建酚类化合物的</w:t>
            </w:r>
            <w:r>
              <w:rPr>
                <w:rFonts w:eastAsia="宋体"/>
                <w:szCs w:val="24"/>
              </w:rPr>
              <w:t>HDO</w:t>
            </w:r>
            <w:r>
              <w:rPr>
                <w:rFonts w:eastAsia="宋体"/>
                <w:szCs w:val="24"/>
              </w:rPr>
              <w:t>反应网络，求解相关动力学参数，建立反应动力学模型。</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国、内外研究现状和发展动态</w:t>
            </w:r>
          </w:p>
          <w:p w:rsidR="00961785" w:rsidRDefault="00056610" w:rsidP="00922885">
            <w:pPr>
              <w:pStyle w:val="duanluo"/>
              <w:snapToGrid w:val="0"/>
              <w:spacing w:line="336" w:lineRule="auto"/>
              <w:ind w:leftChars="0" w:left="0" w:rightChars="0" w:right="0" w:firstLine="480"/>
              <w:rPr>
                <w:rFonts w:eastAsia="宋体"/>
              </w:rPr>
            </w:pPr>
            <w:r>
              <w:rPr>
                <w:rStyle w:val="fontstyle01"/>
                <w:rFonts w:ascii="Times New Roman" w:eastAsia="宋体" w:hint="default"/>
              </w:rPr>
              <w:t>由于酚类化合物中的氧与苯环直接相连，酚羟基中</w:t>
            </w:r>
            <w:r>
              <w:rPr>
                <w:rStyle w:val="fontstyle21"/>
                <w:rFonts w:eastAsia="宋体"/>
              </w:rPr>
              <w:t>C–O</w:t>
            </w:r>
            <w:r>
              <w:rPr>
                <w:rStyle w:val="fontstyle01"/>
                <w:rFonts w:ascii="Times New Roman" w:eastAsia="宋体" w:hint="default"/>
              </w:rPr>
              <w:t>键断裂所需的活化能比其它含氧化合物中的高，导致其脱氧难度最大，且酚是生物质的主要单体，热裂解后的液态油品中酚类化合物占很大比例（高达</w:t>
            </w:r>
            <w:r>
              <w:rPr>
                <w:rStyle w:val="fontstyle21"/>
                <w:rFonts w:eastAsia="宋体"/>
              </w:rPr>
              <w:t>70%</w:t>
            </w:r>
            <w:r>
              <w:rPr>
                <w:rStyle w:val="fontstyle01"/>
                <w:rFonts w:ascii="Times New Roman" w:eastAsia="宋体" w:hint="default"/>
              </w:rPr>
              <w:t>）</w:t>
            </w:r>
            <w:r w:rsidR="00961785">
              <w:rPr>
                <w:rStyle w:val="fontstyle01"/>
                <w:rFonts w:ascii="Times New Roman" w:eastAsia="宋体" w:hint="default"/>
              </w:rPr>
              <w:fldChar w:fldCharType="begin"/>
            </w:r>
            <w:r>
              <w:rPr>
                <w:rStyle w:val="fontstyle01"/>
                <w:rFonts w:ascii="Times New Roman" w:eastAsia="宋体" w:hint="default"/>
              </w:rPr>
              <w:instrText xml:space="preserve"> ADDIN EN.CITE &lt;EndNote&gt;&lt;Cite&gt;&lt;Author&gt;Bu&lt;/Author&gt;&lt;Year&gt;2012&lt;/Year&gt;&lt;RecNum&gt;147&lt;/RecNum&gt;&lt;DisplayText&gt;[1]&lt;/DisplayText&gt;&lt;record&gt;&lt;rec-number&gt;147&lt;/rec-number&gt;&lt;foreign-keys&gt;&lt;key app="EN" db-id="rd2zv2rpndvzpne9ptav2e5q52wasx0paffp"&gt;147&lt;/key&gt;&lt;/foreign-keys&gt;&lt;ref-type name="Journal Article"&gt;17&lt;/ref-type&gt;&lt;contributors&gt;&lt;authors&gt;&lt;author&gt;Bu, Q&lt;/author&gt;&lt;author&gt;Lei, H. W&lt;/author&gt;&lt;author&gt;Ren, S. J&lt;/author&gt;&lt;author&gt;Wang, L&lt;/author&gt;&lt;author&gt;Zhang, Q&lt;/author&gt;&lt;author&gt;Tang, J. M&lt;/author&gt;&lt;author&gt;Ruan, R&lt;/author&gt;&lt;/authors&gt;&lt;/contributors&gt;&lt;titles&gt;&lt;title&gt;Production of phenols and biofuels by catalytic microwave pyrolysis of lignocellulosic biomass&lt;/title&gt;&lt;secondary-title&gt;Bioresource Technology&lt;/secondary-title&gt;&lt;/titles&gt;&lt;periodical&gt;&lt;full-title&gt;Bioresource Technology&lt;/full-title&gt;&lt;/periodical&gt;&lt;pages&gt;274&lt;/pages&gt;&lt;volume&gt;108&lt;/volume&gt;&lt;number&gt;2&lt;/number&gt;&lt;keywords&gt;&lt;keyword&gt;Biomass&lt;/keyword&gt;&lt;keyword&gt;Activated carbon&lt;/keyword&gt;&lt;keyword&gt;Microwave pyrolysis&lt;/keyword&gt;&lt;keyword&gt;Catalyst&lt;/keyword&gt;&lt;keyword&gt;Phenol&lt;/keyword&gt;&lt;/keywords&gt;&lt;dates&gt;&lt;year&gt;2012&lt;/year&gt;&lt;/dates&gt;&lt;urls&gt;&lt;/urls&gt;&lt;/record&gt;&lt;/Cite&gt;&lt;/EndNote&gt;</w:instrText>
            </w:r>
            <w:r w:rsidR="00961785">
              <w:rPr>
                <w:rStyle w:val="fontstyle01"/>
                <w:rFonts w:ascii="Times New Roman" w:eastAsia="宋体" w:hint="default"/>
              </w:rPr>
              <w:fldChar w:fldCharType="separate"/>
            </w:r>
            <w:r>
              <w:rPr>
                <w:rStyle w:val="fontstyle01"/>
                <w:rFonts w:ascii="Times New Roman" w:eastAsia="宋体" w:hint="default"/>
              </w:rPr>
              <w:t>[1]</w:t>
            </w:r>
            <w:r w:rsidR="00961785">
              <w:rPr>
                <w:rStyle w:val="fontstyle01"/>
                <w:rFonts w:ascii="Times New Roman" w:eastAsia="宋体" w:hint="default"/>
              </w:rPr>
              <w:fldChar w:fldCharType="end"/>
            </w:r>
            <w:r>
              <w:rPr>
                <w:rStyle w:val="fontstyle01"/>
                <w:rFonts w:ascii="Times New Roman" w:eastAsia="宋体" w:hint="default"/>
              </w:rPr>
              <w:t>。</w:t>
            </w:r>
            <w:r>
              <w:rPr>
                <w:rFonts w:eastAsia="宋体"/>
              </w:rPr>
              <w:t>目前的研究认为，酚类化合物的</w:t>
            </w:r>
            <w:r>
              <w:rPr>
                <w:rFonts w:eastAsia="宋体"/>
              </w:rPr>
              <w:t>HDO</w:t>
            </w:r>
            <w:r>
              <w:rPr>
                <w:rFonts w:eastAsia="宋体"/>
              </w:rPr>
              <w:t>反应路径主要有两种：一种是直接脱氧生成芳烃化合物的</w:t>
            </w:r>
            <w:r>
              <w:rPr>
                <w:rFonts w:eastAsia="宋体"/>
              </w:rPr>
              <w:t>DDO</w:t>
            </w:r>
            <w:r>
              <w:rPr>
                <w:rFonts w:eastAsia="宋体"/>
              </w:rPr>
              <w:t>路径，另外一种是先加氢生成环烷醇，再脱氧生成环烷烃的</w:t>
            </w:r>
            <w:r>
              <w:rPr>
                <w:rFonts w:eastAsia="宋体"/>
              </w:rPr>
              <w:t>HYD</w:t>
            </w:r>
            <w:r>
              <w:rPr>
                <w:rFonts w:eastAsia="宋体"/>
              </w:rPr>
              <w:t>路径</w:t>
            </w:r>
            <w:r w:rsidR="00961785">
              <w:rPr>
                <w:rFonts w:eastAsia="宋体"/>
              </w:rPr>
              <w:fldChar w:fldCharType="begin"/>
            </w:r>
            <w:r>
              <w:rPr>
                <w:rFonts w:eastAsia="宋体"/>
              </w:rPr>
              <w:instrText xml:space="preserve"> ADDIN EN.CITE &lt;EndNote&gt;&lt;Cite&gt;&lt;Author&gt;Lee&lt;/Author&gt;&lt;Year&gt;2014&lt;/Year&gt;&lt;RecNum&gt;125&lt;/RecNum&gt;&lt;DisplayText&gt;[2]&lt;/DisplayText&gt;&lt;record&gt;&lt;rec-number&gt;125&lt;/rec-number&gt;&lt;foreign-keys&gt;&lt;key app="EN" db-id="rd2zv2rpndvzpne9ptav2e5q52wasx0paffp"&gt;125&lt;/key&gt;&lt;/foreign-keys&gt;&lt;ref-type name="Journal Article"&gt;17&lt;/ref-type&gt;&lt;contributors&gt;&lt;authors&gt;&lt;author&gt;Lee, Hyung Won&lt;/author&gt;&lt;author&gt;Bo, Ram Jun&lt;/author&gt;&lt;author&gt;Kim, Hannah&lt;/author&gt;&lt;author&gt;Kim, Do Heui&lt;/author&gt;&lt;author&gt;Jeon, Jong Ki&lt;/author&gt;&lt;author&gt;Park, Sung Hoon&lt;/author&gt;&lt;author&gt;Chang, Hyun Ko&lt;/author&gt;&lt;author&gt;Kim, Tae Wan&lt;/author&gt;&lt;author&gt;Park, Young Kwon&lt;/author&gt;&lt;/authors&gt;&lt;/contributors&gt;&lt;titles&gt;&lt;title&gt;Catalytic hydrodeoxygenation of 2-methoxy phenol and dibenzofuran over Pt/mesoporous zeolites&lt;/title&gt;&lt;secondary-title&gt;Energy&lt;/secondary-title&gt;&lt;/titles&gt;&lt;periodical&gt;&lt;full-title&gt;Energy&lt;/full-title&gt;&lt;/periodical&gt;&lt;pages&gt;33-40&lt;/pages&gt;&lt;volume&gt;81&lt;/volume&gt;&lt;keywords&gt;&lt;keyword&gt;Pyrolysis&lt;/keyword&gt;&lt;keyword&gt;Bio-oil&lt;/keyword&gt;&lt;keyword&gt;2-Methoxy phenol&lt;/keyword&gt;&lt;keyword&gt;Dibenzofuran&lt;/keyword&gt;&lt;keyword&gt;Hydrodeoxygenation&lt;/keyword&gt;&lt;keyword&gt;Pt/mesoporous zeolites&lt;/keyword&gt;&lt;/keywords&gt;&lt;dates&gt;&lt;year&gt;2014&lt;/year&gt;&lt;/dates&gt;&lt;urls&gt;&lt;/urls&gt;&lt;/record&gt;&lt;/Cite&gt;&lt;/EndNote&gt;</w:instrText>
            </w:r>
            <w:r w:rsidR="00961785">
              <w:rPr>
                <w:rFonts w:eastAsia="宋体"/>
              </w:rPr>
              <w:fldChar w:fldCharType="separate"/>
            </w:r>
            <w:r>
              <w:rPr>
                <w:rFonts w:eastAsia="宋体"/>
              </w:rPr>
              <w:t>[2]</w:t>
            </w:r>
            <w:r w:rsidR="00961785">
              <w:rPr>
                <w:rFonts w:eastAsia="宋体"/>
              </w:rPr>
              <w:fldChar w:fldCharType="end"/>
            </w:r>
            <w:r>
              <w:rPr>
                <w:rFonts w:eastAsia="宋体"/>
              </w:rPr>
              <w:t>。在加氢脱氧过程中，反应路径主要取决于所选用的催化剂，路径的差异决定了酚类化合物</w:t>
            </w:r>
            <w:r>
              <w:rPr>
                <w:rFonts w:eastAsia="宋体"/>
              </w:rPr>
              <w:t>HDO</w:t>
            </w:r>
            <w:r>
              <w:rPr>
                <w:rFonts w:eastAsia="宋体"/>
              </w:rPr>
              <w:t>的产物分布。</w:t>
            </w:r>
          </w:p>
          <w:p w:rsidR="00961785" w:rsidRDefault="00056610" w:rsidP="00922885">
            <w:pPr>
              <w:pStyle w:val="duanluo"/>
              <w:snapToGrid w:val="0"/>
              <w:spacing w:line="336" w:lineRule="auto"/>
              <w:ind w:leftChars="0" w:left="0" w:rightChars="0" w:right="0" w:firstLine="480"/>
              <w:rPr>
                <w:rFonts w:eastAsia="宋体"/>
              </w:rPr>
            </w:pPr>
            <w:r>
              <w:rPr>
                <w:rFonts w:eastAsia="宋体"/>
              </w:rPr>
              <w:t>目前，生物油</w:t>
            </w:r>
            <w:r>
              <w:rPr>
                <w:rFonts w:eastAsia="宋体"/>
              </w:rPr>
              <w:t>HDO</w:t>
            </w:r>
            <w:r>
              <w:rPr>
                <w:rFonts w:eastAsia="宋体"/>
              </w:rPr>
              <w:t>催化剂的研究集中在以下几类催化剂：</w:t>
            </w:r>
          </w:p>
          <w:p w:rsidR="00961785" w:rsidRDefault="00056610" w:rsidP="00922885">
            <w:pPr>
              <w:snapToGrid w:val="0"/>
              <w:spacing w:line="336" w:lineRule="auto"/>
              <w:ind w:firstLineChars="200" w:firstLine="480"/>
              <w:rPr>
                <w:sz w:val="24"/>
                <w:lang w:val="en-GB"/>
              </w:rPr>
            </w:pPr>
            <w:r>
              <w:rPr>
                <w:rStyle w:val="duanluo0"/>
                <w:rFonts w:eastAsia="宋体"/>
              </w:rPr>
              <w:t>（</w:t>
            </w:r>
            <w:r>
              <w:rPr>
                <w:rStyle w:val="duanluo0"/>
                <w:rFonts w:eastAsia="宋体"/>
              </w:rPr>
              <w:t>1</w:t>
            </w:r>
            <w:r>
              <w:rPr>
                <w:rStyle w:val="duanluo0"/>
                <w:rFonts w:eastAsia="宋体"/>
              </w:rPr>
              <w:t>）贵金属催化剂。贵金属催化剂因具有较好的催化活性被广泛应用于加氢精制等领域中</w:t>
            </w:r>
            <w:r w:rsidR="00961785">
              <w:rPr>
                <w:rStyle w:val="duanluo0"/>
                <w:rFonts w:eastAsia="宋体"/>
              </w:rPr>
              <w:fldChar w:fldCharType="begin"/>
            </w:r>
            <w:r>
              <w:rPr>
                <w:rStyle w:val="duanluo0"/>
                <w:rFonts w:eastAsia="宋体"/>
              </w:rPr>
              <w:instrText xml:space="preserve"> ADDIN EN.CITE &lt;EndNote&gt;&lt;Cite&gt;&lt;Author&gt;Yamaguchi&lt;/Author&gt;&lt;Year&gt;2003&lt;/Year&gt;&lt;RecNum&gt;150&lt;/RecNum&gt;&lt;DisplayText&gt;[3]&lt;/DisplayText&gt;&lt;record&gt;&lt;rec-number&gt;150&lt;/rec-number&gt;&lt;foreign-keys&gt;&lt;key app="EN" db-id="rd2zv2rpndvzpne9ptav2e5q52wasx0paffp"&gt;150&lt;/key&gt;&lt;/foreign-keys&gt;&lt;ref-type name="Generic"&gt;13&lt;/ref-type&gt;&lt;contributors&gt;&lt;authors&gt;&lt;author&gt;Yamaguchi, Toshio&lt;/author&gt;&lt;author&gt;Kanai, Yuki&lt;/author&gt;&lt;author&gt;Yokozuka, Hideharu&lt;/author&gt;&lt;/authors&gt;&lt;/contributors&gt;&lt;titles&gt;&lt;title&gt;Hydrogenation catalyst for aromatic hydrocarbons contained in hydrocarbon oils&lt;/title&gt;&lt;/titles&gt;&lt;dates&gt;&lt;year&gt;2003&lt;/year&gt;&lt;/dates&gt;&lt;publisher&gt;US&lt;/publisher&gt;&lt;urls&gt;&lt;/urls&gt;&lt;/record&gt;&lt;/Cite&gt;&lt;/EndNote&gt;</w:instrText>
            </w:r>
            <w:r w:rsidR="00961785">
              <w:rPr>
                <w:rStyle w:val="duanluo0"/>
                <w:rFonts w:eastAsia="宋体"/>
              </w:rPr>
              <w:fldChar w:fldCharType="separate"/>
            </w:r>
            <w:r>
              <w:rPr>
                <w:rStyle w:val="duanluo0"/>
                <w:rFonts w:eastAsia="宋体"/>
              </w:rPr>
              <w:t>[3]</w:t>
            </w:r>
            <w:r w:rsidR="00961785">
              <w:rPr>
                <w:rStyle w:val="duanluo0"/>
                <w:rFonts w:eastAsia="宋体"/>
              </w:rPr>
              <w:fldChar w:fldCharType="end"/>
            </w:r>
            <w:r>
              <w:rPr>
                <w:rStyle w:val="duanluo0"/>
                <w:rFonts w:eastAsia="宋体"/>
              </w:rPr>
              <w:t>，一些学者也将其应用到生物油中酚类化合物的</w:t>
            </w:r>
            <w:r>
              <w:rPr>
                <w:rStyle w:val="duanluo0"/>
                <w:rFonts w:eastAsia="宋体"/>
              </w:rPr>
              <w:t>HDO</w:t>
            </w:r>
            <w:r>
              <w:rPr>
                <w:rStyle w:val="duanluo0"/>
                <w:rFonts w:eastAsia="宋体"/>
              </w:rPr>
              <w:t>反应中，如</w:t>
            </w:r>
            <w:r>
              <w:rPr>
                <w:rStyle w:val="duanluo0"/>
                <w:rFonts w:eastAsia="宋体"/>
              </w:rPr>
              <w:t>Rh/ZrO</w:t>
            </w:r>
            <w:r>
              <w:rPr>
                <w:rStyle w:val="duanluo0"/>
                <w:rFonts w:eastAsia="宋体"/>
                <w:vertAlign w:val="subscript"/>
              </w:rPr>
              <w:t>2</w:t>
            </w:r>
            <w:r>
              <w:rPr>
                <w:rStyle w:val="duanluo0"/>
                <w:rFonts w:eastAsia="宋体"/>
              </w:rPr>
              <w:t>和</w:t>
            </w:r>
            <w:r>
              <w:rPr>
                <w:rStyle w:val="duanluo0"/>
                <w:rFonts w:eastAsia="宋体"/>
              </w:rPr>
              <w:t>Rh–Pt/ZrO</w:t>
            </w:r>
            <w:r>
              <w:rPr>
                <w:rStyle w:val="duanluo0"/>
                <w:rFonts w:eastAsia="宋体"/>
                <w:vertAlign w:val="subscript"/>
              </w:rPr>
              <w:t>2</w:t>
            </w:r>
            <w:r>
              <w:rPr>
                <w:rStyle w:val="duanluo0"/>
                <w:rFonts w:eastAsia="宋体"/>
              </w:rPr>
              <w:t>催化邻甲氧基苯酚的转化率可以达到</w:t>
            </w:r>
            <w:r>
              <w:rPr>
                <w:rStyle w:val="duanluo0"/>
                <w:rFonts w:eastAsia="宋体"/>
              </w:rPr>
              <w:t>100%</w:t>
            </w:r>
            <w:r>
              <w:rPr>
                <w:rStyle w:val="duanluo0"/>
                <w:rFonts w:eastAsia="宋体"/>
              </w:rPr>
              <w:t>，产物中的</w:t>
            </w:r>
            <w:r>
              <w:rPr>
                <w:rStyle w:val="duanluo0"/>
                <w:rFonts w:eastAsia="宋体"/>
              </w:rPr>
              <w:t>H/C</w:t>
            </w:r>
            <w:r>
              <w:rPr>
                <w:rStyle w:val="duanluo0"/>
                <w:rFonts w:eastAsia="宋体"/>
              </w:rPr>
              <w:t>原子比达到了汽油和柴油中的</w:t>
            </w:r>
            <w:r>
              <w:rPr>
                <w:rStyle w:val="duanluo0"/>
                <w:rFonts w:eastAsia="宋体"/>
              </w:rPr>
              <w:t>H/C</w:t>
            </w:r>
            <w:r>
              <w:rPr>
                <w:rStyle w:val="duanluo0"/>
                <w:rFonts w:eastAsia="宋体"/>
              </w:rPr>
              <w:t>原子比。只有当温度增加到</w:t>
            </w:r>
            <w:r>
              <w:rPr>
                <w:rStyle w:val="duanluo0"/>
                <w:rFonts w:eastAsia="宋体"/>
              </w:rPr>
              <w:t>300</w:t>
            </w:r>
            <w:r>
              <w:rPr>
                <w:rStyle w:val="duanluo0"/>
                <w:rFonts w:ascii="宋体" w:eastAsia="宋体" w:hAnsi="宋体" w:cs="宋体" w:hint="eastAsia"/>
              </w:rPr>
              <w:t>℃</w:t>
            </w:r>
            <w:r>
              <w:rPr>
                <w:rStyle w:val="duanluo0"/>
                <w:rFonts w:eastAsia="宋体"/>
              </w:rPr>
              <w:t>时才发生脱氧反应，在</w:t>
            </w:r>
            <w:r>
              <w:rPr>
                <w:sz w:val="24"/>
              </w:rPr>
              <w:t>Rh/ZrO</w:t>
            </w:r>
            <w:r>
              <w:rPr>
                <w:sz w:val="24"/>
                <w:vertAlign w:val="subscript"/>
              </w:rPr>
              <w:t>2</w:t>
            </w:r>
            <w:r>
              <w:rPr>
                <w:sz w:val="24"/>
              </w:rPr>
              <w:t>和</w:t>
            </w:r>
            <w:r>
              <w:rPr>
                <w:sz w:val="24"/>
              </w:rPr>
              <w:t>Rh–Pd/ZrO</w:t>
            </w:r>
            <w:r>
              <w:rPr>
                <w:sz w:val="24"/>
                <w:vertAlign w:val="subscript"/>
              </w:rPr>
              <w:t>2</w:t>
            </w:r>
            <w:r>
              <w:rPr>
                <w:sz w:val="24"/>
              </w:rPr>
              <w:t>的催化下，产物中</w:t>
            </w:r>
            <w:r>
              <w:rPr>
                <w:sz w:val="24"/>
              </w:rPr>
              <w:t>O/C</w:t>
            </w:r>
            <w:r>
              <w:rPr>
                <w:sz w:val="24"/>
              </w:rPr>
              <w:t>原子比可以达到汽油和柴油的标准</w:t>
            </w:r>
            <w:r w:rsidR="00961785">
              <w:rPr>
                <w:sz w:val="24"/>
              </w:rPr>
              <w:fldChar w:fldCharType="begin"/>
            </w:r>
            <w:r>
              <w:rPr>
                <w:sz w:val="24"/>
              </w:rPr>
              <w:instrText xml:space="preserve"> ADDIN EN.CITE &lt;EndNote&gt;&lt;Cite&gt;&lt;Author&gt;Sepúlveda&lt;/Author&gt;&lt;Year&gt;2014&lt;/Year&gt;&lt;RecNum&gt;138&lt;/RecNum&gt;&lt;DisplayText&gt;[4]&lt;/DisplayText&gt;&lt;record&gt;&lt;rec-number&gt;138&lt;/rec-number&gt;&lt;foreign-keys&gt;&lt;key app="EN" db-id="rd2zv2rpndvzpne9ptav2e5q52wasx0paffp"&gt;138&lt;/key&gt;&lt;/foreign-keys&gt;&lt;ref-type name="Journal Article"&gt;17&lt;/ref-type&gt;&lt;contributors&gt;&lt;authors&gt;&lt;author&gt;Sepúlveda, C.&lt;/author&gt;&lt;author&gt;García, R.&lt;/author&gt;&lt;author&gt;Reyes, P.&lt;/author&gt;&lt;author&gt;Ghampson, I. T.&lt;/author&gt;&lt;author&gt;Fierro, J. L. G.&lt;/author&gt;&lt;author&gt;Laurenti, D.&lt;/author&gt;&lt;author&gt;Vrinat, M.&lt;/author&gt;&lt;author&gt;Escalona, N.&lt;/author&gt;&lt;/authors&gt;&lt;/contributors&gt;&lt;titles&gt;&lt;title&gt;Hydrodeoxygenation of guaiacol over ReS 2 /activated carbon catalysts. Support and Re loading effect&lt;/title&gt;&lt;secondary-title&gt;Applied Catalysis A General&lt;/secondary-title&gt;&lt;/titles&gt;&lt;periodical&gt;&lt;full-title&gt;Applied Catalysis A General&lt;/full-title&gt;&lt;/periodical&gt;&lt;pages&gt;427-437&lt;/pages&gt;&lt;volume&gt;475&lt;/volume&gt;&lt;number&gt;2&lt;/number&gt;&lt;keywords&gt;&lt;keyword&gt;Hydrodeoxygenation&lt;/keyword&gt;&lt;keyword&gt;2-Methoxyphenol&lt;/keyword&gt;&lt;keyword&gt;Activated carbon&lt;/keyword&gt;&lt;keyword&gt;ReS2&lt;/keyword&gt;&lt;/keywords&gt;&lt;dates&gt;&lt;year&gt;2014&lt;/year&gt;&lt;/dates&gt;&lt;urls&gt;&lt;/urls&gt;&lt;/record&gt;&lt;/Cite&gt;&lt;/EndNote&gt;</w:instrText>
            </w:r>
            <w:r w:rsidR="00961785">
              <w:rPr>
                <w:sz w:val="24"/>
              </w:rPr>
              <w:fldChar w:fldCharType="separate"/>
            </w:r>
            <w:r>
              <w:rPr>
                <w:sz w:val="24"/>
              </w:rPr>
              <w:t>[4]</w:t>
            </w:r>
            <w:r w:rsidR="00961785">
              <w:rPr>
                <w:sz w:val="24"/>
              </w:rPr>
              <w:fldChar w:fldCharType="end"/>
            </w:r>
            <w:r>
              <w:rPr>
                <w:sz w:val="24"/>
              </w:rPr>
              <w:t>；</w:t>
            </w:r>
            <w:r>
              <w:rPr>
                <w:sz w:val="24"/>
                <w:lang w:val="en-GB"/>
              </w:rPr>
              <w:t>在</w:t>
            </w:r>
            <w:r>
              <w:rPr>
                <w:sz w:val="24"/>
                <w:lang w:val="en-GB"/>
              </w:rPr>
              <w:t>Pt–Sn</w:t>
            </w:r>
            <w:r>
              <w:rPr>
                <w:sz w:val="24"/>
                <w:lang w:val="en-GB"/>
              </w:rPr>
              <w:t>催化剂的催化作用下，</w:t>
            </w:r>
            <w:r>
              <w:rPr>
                <w:sz w:val="24"/>
              </w:rPr>
              <w:t>邻甲氧基苯酚加氢脱氧主要产物为</w:t>
            </w:r>
            <w:r>
              <w:rPr>
                <w:sz w:val="24"/>
                <w:lang w:val="en-GB"/>
              </w:rPr>
              <w:t>苯酚、邻甲基苯酚、甲苯和苯，因形成了</w:t>
            </w:r>
            <w:r>
              <w:rPr>
                <w:sz w:val="24"/>
                <w:lang w:val="en-GB"/>
              </w:rPr>
              <w:t>Pt–Sn</w:t>
            </w:r>
            <w:r>
              <w:rPr>
                <w:sz w:val="24"/>
                <w:lang w:val="en-GB"/>
              </w:rPr>
              <w:t>合金，双金属催化剂的催化活性比单一金属催化剂的高，原料的转化率可高达</w:t>
            </w:r>
            <w:r>
              <w:rPr>
                <w:sz w:val="24"/>
                <w:lang w:val="en-GB"/>
              </w:rPr>
              <w:t>100%</w:t>
            </w:r>
            <w:r>
              <w:rPr>
                <w:sz w:val="24"/>
                <w:lang w:val="en-GB"/>
              </w:rPr>
              <w:t>，当在载体铬镍铁合金表面原位长出碳纳米管，载体的比表面积增大</w:t>
            </w:r>
            <w:r>
              <w:rPr>
                <w:sz w:val="24"/>
                <w:lang w:val="en-GB"/>
              </w:rPr>
              <w:t>10</w:t>
            </w:r>
            <w:r>
              <w:rPr>
                <w:sz w:val="24"/>
                <w:lang w:val="en-GB"/>
              </w:rPr>
              <w:t>倍，负载的活性相组分增加，催化的活性提高，产物中苯的选择性较高</w:t>
            </w:r>
            <w:r w:rsidR="00961785">
              <w:rPr>
                <w:sz w:val="24"/>
                <w:lang w:val="en-GB"/>
              </w:rPr>
              <w:fldChar w:fldCharType="begin"/>
            </w:r>
            <w:r>
              <w:rPr>
                <w:sz w:val="24"/>
                <w:lang w:val="en-GB"/>
              </w:rPr>
              <w:instrText xml:space="preserve"> ADDIN EN.CITE &lt;EndNote&gt;&lt;Cite&gt;&lt;Author&gt;Gonzálezborja&lt;/Author&gt;&lt;Year&gt;2011&lt;/Year&gt;&lt;RecNum&gt;152&lt;/RecNum&gt;&lt;DisplayText&gt;[5]&lt;/DisplayText&gt;&lt;record&gt;&lt;rec-number&gt;152&lt;/rec-number&gt;&lt;foreign-keys&gt;&lt;key app="EN" db-id="rd2zv2rpndvzpne9ptav2e5q52wasx0paffp"&gt;152&lt;/key&gt;&lt;/foreign-keys&gt;&lt;ref-type name="Journal Article"&gt;17&lt;/ref-type&gt;&lt;contributors&gt;&lt;authors&gt;&lt;author&gt;Gonzálezborja, Miguel Ángel&lt;/author&gt;&lt;author&gt;Resasco, Daniel E.&lt;/author&gt;&lt;/authors&gt;&lt;/contributors&gt;&lt;titles&gt;&lt;title&gt;Anisole and Guaiacol Hydrodeoxygenation over Monolithic Pt–Sn Catalysts&lt;/title&gt;&lt;secondary-title&gt;Energy &amp;amp; Fuels&lt;/secondary-title&gt;&lt;/titles&gt;&lt;periodical&gt;&lt;full-title&gt;Energy &amp;amp; Fuels&lt;/full-title&gt;&lt;/periodical&gt;&lt;pages&gt;4155-4162&lt;/pages&gt;&lt;volume&gt;25&lt;/volume&gt;&lt;number&gt;9&lt;/number&gt;&lt;keywords&gt;&lt;keyword&gt;Solar radiation&lt;/keyword&gt;&lt;keyword&gt;Satellite models&lt;/keyword&gt;&lt;keyword&gt;Meteosat&lt;/keyword&gt;&lt;keyword&gt;India&lt;/keyword&gt;&lt;/keywords&gt;&lt;dates&gt;&lt;year&gt;2011&lt;/year&gt;&lt;/dates&gt;&lt;urls&gt;&lt;/urls&gt;&lt;/record&gt;&lt;/Cite&gt;&lt;/EndNote&gt;</w:instrText>
            </w:r>
            <w:r w:rsidR="00961785">
              <w:rPr>
                <w:sz w:val="24"/>
                <w:lang w:val="en-GB"/>
              </w:rPr>
              <w:fldChar w:fldCharType="separate"/>
            </w:r>
            <w:r>
              <w:rPr>
                <w:sz w:val="24"/>
                <w:lang w:val="en-GB"/>
              </w:rPr>
              <w:t>[5]</w:t>
            </w:r>
            <w:r w:rsidR="00961785">
              <w:rPr>
                <w:sz w:val="24"/>
                <w:lang w:val="en-GB"/>
              </w:rPr>
              <w:fldChar w:fldCharType="end"/>
            </w:r>
            <w:r>
              <w:rPr>
                <w:sz w:val="24"/>
                <w:lang w:val="en-GB"/>
              </w:rPr>
              <w:t>；在</w:t>
            </w:r>
            <w:r>
              <w:rPr>
                <w:sz w:val="24"/>
              </w:rPr>
              <w:t>Pd/C</w:t>
            </w:r>
            <w:r>
              <w:rPr>
                <w:sz w:val="24"/>
              </w:rPr>
              <w:t>和无机酸催化酚类化合物的</w:t>
            </w:r>
            <w:r>
              <w:rPr>
                <w:sz w:val="24"/>
              </w:rPr>
              <w:t>HDO</w:t>
            </w:r>
            <w:r>
              <w:rPr>
                <w:sz w:val="24"/>
              </w:rPr>
              <w:t>反应中，温度</w:t>
            </w:r>
            <w:r>
              <w:rPr>
                <w:sz w:val="24"/>
              </w:rPr>
              <w:t>250</w:t>
            </w:r>
            <w:r>
              <w:rPr>
                <w:rFonts w:ascii="宋体" w:hAnsi="宋体" w:cs="宋体" w:hint="eastAsia"/>
                <w:sz w:val="24"/>
              </w:rPr>
              <w:t>℃</w:t>
            </w:r>
            <w:r>
              <w:rPr>
                <w:sz w:val="24"/>
              </w:rPr>
              <w:t>和氢压</w:t>
            </w:r>
            <w:r>
              <w:rPr>
                <w:sz w:val="24"/>
              </w:rPr>
              <w:t>5.0 MPa</w:t>
            </w:r>
            <w:r>
              <w:rPr>
                <w:sz w:val="24"/>
              </w:rPr>
              <w:t>下，邻甲氧基苯酚类化合物如</w:t>
            </w:r>
            <w:r>
              <w:rPr>
                <w:sz w:val="24"/>
              </w:rPr>
              <w:t>4–</w:t>
            </w:r>
            <w:r>
              <w:rPr>
                <w:sz w:val="24"/>
              </w:rPr>
              <w:t>丙基邻甲氧基苯酚、</w:t>
            </w:r>
            <w:r>
              <w:rPr>
                <w:sz w:val="24"/>
              </w:rPr>
              <w:t>4</w:t>
            </w:r>
            <w:r>
              <w:rPr>
                <w:sz w:val="24"/>
              </w:rPr>
              <w:t>烯丙基邻甲氧基苯酚和</w:t>
            </w:r>
            <w:r>
              <w:rPr>
                <w:sz w:val="24"/>
              </w:rPr>
              <w:t>4–</w:t>
            </w:r>
            <w:r>
              <w:rPr>
                <w:sz w:val="24"/>
              </w:rPr>
              <w:t>丙酮基邻甲氧基苯酚可以转化成烷烃化合物和甲醇</w:t>
            </w:r>
            <w:r w:rsidR="00961785">
              <w:rPr>
                <w:sz w:val="24"/>
              </w:rPr>
              <w:fldChar w:fldCharType="begin"/>
            </w:r>
            <w:r>
              <w:rPr>
                <w:sz w:val="24"/>
              </w:rPr>
              <w:instrText xml:space="preserve"> ADDIN EN.CITE &lt;EndNote&gt;&lt;Cite&gt;&lt;Author&gt;Zhao&lt;/Author&gt;&lt;Year&gt;2009&lt;/Year&gt;&lt;RecNum&gt;156&lt;/RecNum&gt;&lt;DisplayText&gt;[6]&lt;/DisplayText&gt;&lt;record&gt;&lt;rec-number&gt;156&lt;/rec-number&gt;&lt;foreign-keys&gt;&lt;key app="EN" db-id="rd2zv2rpndvzpne9ptav2e5q52wasx0paffp"&gt;156&lt;/key&gt;&lt;/foreign-keys&gt;&lt;ref-type name="Journal Article"&gt;17&lt;/ref-type&gt;&lt;contributors&gt;&lt;authors&gt;&lt;author&gt;Zhao, C.&lt;/author&gt;&lt;author&gt;Kou, Y.&lt;/author&gt;&lt;author&gt;Lemonidou, A. A.&lt;/author&gt;&lt;author&gt;Li, X.&lt;/author&gt;&lt;author&gt;Lercher, J. A.&lt;/author&gt;&lt;/authors&gt;&lt;/contributors&gt;&lt;titles&gt;&lt;title&gt;Highly Selective Catalytic Conversion of Phenolic Bio-Oil to Alkanes&lt;/title&gt;&lt;secondary-title&gt;Angewandte Chemie&lt;/secondary-title&gt;&lt;/titles&gt;&lt;periodical&gt;&lt;full-title&gt;Angewandte Chemie&lt;/full-title&gt;&lt;/periodical&gt;&lt;pages&gt;3987-3990&lt;/pages&gt;&lt;volume&gt;121&lt;/volume&gt;&lt;number&gt;22&lt;/number&gt;&lt;keywords&gt;&lt;keyword&gt;Bioöl&lt;/keyword&gt;&lt;keyword&gt;Heterogene Katalyse&lt;/keyword&gt;&lt;keyword&gt;Hydrodesoxygenierungen&lt;/keyword&gt;&lt;keyword&gt;Katalyse in wässriger Phase&lt;/keyword&gt;&lt;keyword&gt;Palladium&lt;/keyword&gt;&lt;/keywords&gt;&lt;dates&gt;&lt;year&gt;2009&lt;/year&gt;&lt;/dates&gt;&lt;urls&gt;&lt;/urls&gt;&lt;/record&gt;&lt;/Cite&gt;&lt;/EndNote&gt;</w:instrText>
            </w:r>
            <w:r w:rsidR="00961785">
              <w:rPr>
                <w:sz w:val="24"/>
              </w:rPr>
              <w:fldChar w:fldCharType="separate"/>
            </w:r>
            <w:r>
              <w:rPr>
                <w:sz w:val="24"/>
              </w:rPr>
              <w:t>[6]</w:t>
            </w:r>
            <w:r w:rsidR="00961785">
              <w:rPr>
                <w:sz w:val="24"/>
              </w:rPr>
              <w:fldChar w:fldCharType="end"/>
            </w:r>
            <w:r>
              <w:rPr>
                <w:sz w:val="24"/>
              </w:rPr>
              <w:t>，当无机酸为</w:t>
            </w:r>
            <w:r>
              <w:rPr>
                <w:sz w:val="24"/>
              </w:rPr>
              <w:t>Naﬁon/SiO</w:t>
            </w:r>
            <w:r>
              <w:rPr>
                <w:sz w:val="24"/>
                <w:vertAlign w:val="subscript"/>
              </w:rPr>
              <w:t>2</w:t>
            </w:r>
            <w:r>
              <w:rPr>
                <w:sz w:val="24"/>
              </w:rPr>
              <w:t>酸时，环烷烃的选择性高达</w:t>
            </w:r>
            <w:r>
              <w:rPr>
                <w:sz w:val="24"/>
              </w:rPr>
              <w:t>98%</w:t>
            </w:r>
            <w:r w:rsidR="00961785">
              <w:rPr>
                <w:sz w:val="24"/>
              </w:rPr>
              <w:fldChar w:fldCharType="begin"/>
            </w:r>
            <w:r>
              <w:rPr>
                <w:sz w:val="24"/>
              </w:rPr>
              <w:instrText xml:space="preserve"> ADDIN EN.CITE &lt;EndNote&gt;&lt;Cite&gt;&lt;Author&gt;C&lt;/Author&gt;&lt;Year&gt;2010&lt;/Year&gt;&lt;RecNum&gt;154&lt;/RecNum&gt;&lt;DisplayText&gt;[7]&lt;/DisplayText&gt;&lt;record&gt;&lt;rec-number&gt;154&lt;/rec-number&gt;&lt;foreign-keys&gt;&lt;key app="EN" db-id="rd2zv2rpndvzpne9ptav2e5q52wasx0paffp"&gt;154&lt;/key&gt;&lt;/foreign-keys&gt;&lt;ref-type name="Journal Article"&gt;17&lt;/ref-type&gt;&lt;contributors&gt;&lt;authors&gt;&lt;author&gt;Zhao C&lt;/author&gt;&lt;author&gt;Kou Y&lt;/author&gt;&lt;author&gt;Lemonidou AA&lt;/author&gt;&lt;author&gt;Li X&lt;/author&gt;&lt;author&gt;Lercher JA&lt;/author&gt;&lt;/authors&gt;&lt;/contributors&gt;&lt;titles&gt;&lt;title&gt;Hydrodeoxygenation of bio-derived phenols to hydrocarbons using RANEY Ni and Nafion/SiO2 catalysts&lt;/title&gt;&lt;secondary-title&gt;Chemical communications (Cambridge, England)&lt;/secondary-title&gt;&lt;/titles&gt;&lt;periodical&gt;&lt;full-title&gt;Chemical communications (Cambridge, England)&lt;/full-title&gt;&lt;/periodical&gt;&lt;pages&gt;412-4&lt;/pages&gt;&lt;volume&gt;46&lt;/volume&gt;&lt;number&gt;3&lt;/number&gt;&lt;keywords&gt;&lt;keyword&gt;cyclohexane derivatives&lt;/keyword&gt;&lt;keyword&gt;reduction, hydrogenation&lt;/keyword&gt;&lt;/keywords&gt;&lt;dates&gt;&lt;year&gt;2010&lt;/year&gt;&lt;/dates&gt;&lt;urls&gt;&lt;/urls&gt;&lt;/record&gt;&lt;/Cite&gt;&lt;/EndNote&gt;</w:instrText>
            </w:r>
            <w:r w:rsidR="00961785">
              <w:rPr>
                <w:sz w:val="24"/>
              </w:rPr>
              <w:fldChar w:fldCharType="separate"/>
            </w:r>
            <w:r>
              <w:rPr>
                <w:sz w:val="24"/>
              </w:rPr>
              <w:t>[7]</w:t>
            </w:r>
            <w:r w:rsidR="00961785">
              <w:rPr>
                <w:sz w:val="24"/>
              </w:rPr>
              <w:fldChar w:fldCharType="end"/>
            </w:r>
            <w:r>
              <w:rPr>
                <w:sz w:val="24"/>
              </w:rPr>
              <w:t>。</w:t>
            </w:r>
          </w:p>
          <w:p w:rsidR="00961785" w:rsidRDefault="00056610" w:rsidP="00922885">
            <w:pPr>
              <w:pStyle w:val="duanluo"/>
              <w:snapToGrid w:val="0"/>
              <w:spacing w:line="336" w:lineRule="auto"/>
              <w:ind w:leftChars="0" w:left="0" w:rightChars="0" w:right="0" w:firstLine="480"/>
              <w:rPr>
                <w:rFonts w:eastAsia="宋体"/>
                <w:bCs/>
              </w:rPr>
            </w:pPr>
            <w:r>
              <w:rPr>
                <w:rFonts w:eastAsia="宋体"/>
              </w:rPr>
              <w:t>（</w:t>
            </w:r>
            <w:r>
              <w:rPr>
                <w:rFonts w:eastAsia="宋体"/>
              </w:rPr>
              <w:t>2</w:t>
            </w:r>
            <w:r>
              <w:rPr>
                <w:rFonts w:eastAsia="宋体"/>
              </w:rPr>
              <w:t>）硫化物催化剂。硫化物是催化生物油中酚类化合物</w:t>
            </w:r>
            <w:r>
              <w:rPr>
                <w:rFonts w:eastAsia="宋体"/>
              </w:rPr>
              <w:t>HDO</w:t>
            </w:r>
            <w:r>
              <w:rPr>
                <w:rFonts w:eastAsia="宋体"/>
              </w:rPr>
              <w:t>反应的典型催</w:t>
            </w:r>
            <w:r w:rsidRPr="00922885">
              <w:rPr>
                <w:rFonts w:eastAsia="宋体"/>
                <w:spacing w:val="-2"/>
              </w:rPr>
              <w:lastRenderedPageBreak/>
              <w:t>化剂之一，其主活性组分是</w:t>
            </w:r>
            <w:r w:rsidRPr="00922885">
              <w:rPr>
                <w:rFonts w:ascii="宋体" w:eastAsia="宋体" w:hAnsi="宋体" w:cs="宋体" w:hint="eastAsia"/>
                <w:spacing w:val="-2"/>
              </w:rPr>
              <w:t>Ⅵ</w:t>
            </w:r>
            <w:r w:rsidRPr="00922885">
              <w:rPr>
                <w:rFonts w:eastAsia="宋体"/>
                <w:spacing w:val="-2"/>
              </w:rPr>
              <w:t>B</w:t>
            </w:r>
            <w:r w:rsidRPr="00922885">
              <w:rPr>
                <w:rFonts w:eastAsia="宋体"/>
                <w:spacing w:val="-2"/>
              </w:rPr>
              <w:t>族金属</w:t>
            </w:r>
            <w:r w:rsidRPr="00922885">
              <w:rPr>
                <w:rFonts w:eastAsia="宋体"/>
                <w:spacing w:val="-2"/>
              </w:rPr>
              <w:t>Mo</w:t>
            </w:r>
            <w:r w:rsidRPr="00922885">
              <w:rPr>
                <w:rFonts w:eastAsia="宋体"/>
                <w:spacing w:val="-2"/>
              </w:rPr>
              <w:t>或</w:t>
            </w:r>
            <w:r w:rsidRPr="00922885">
              <w:rPr>
                <w:rFonts w:eastAsia="宋体"/>
                <w:spacing w:val="-2"/>
              </w:rPr>
              <w:t>W</w:t>
            </w:r>
            <w:r w:rsidRPr="00922885">
              <w:rPr>
                <w:rFonts w:eastAsia="宋体"/>
                <w:spacing w:val="-2"/>
              </w:rPr>
              <w:t>，添加</w:t>
            </w:r>
            <w:r w:rsidRPr="00922885">
              <w:rPr>
                <w:rFonts w:ascii="宋体" w:eastAsia="宋体" w:hAnsi="宋体" w:cs="宋体" w:hint="eastAsia"/>
                <w:spacing w:val="-2"/>
              </w:rPr>
              <w:t>Ⅶ</w:t>
            </w:r>
            <w:r w:rsidRPr="00922885">
              <w:rPr>
                <w:rFonts w:eastAsia="宋体"/>
                <w:spacing w:val="-2"/>
              </w:rPr>
              <w:t>族金属</w:t>
            </w:r>
            <w:r w:rsidRPr="00922885">
              <w:rPr>
                <w:rFonts w:eastAsia="宋体"/>
                <w:spacing w:val="-2"/>
              </w:rPr>
              <w:t>Ni</w:t>
            </w:r>
            <w:r w:rsidRPr="00922885">
              <w:rPr>
                <w:rFonts w:eastAsia="宋体"/>
                <w:spacing w:val="-2"/>
              </w:rPr>
              <w:t>或</w:t>
            </w:r>
            <w:r w:rsidRPr="00922885">
              <w:rPr>
                <w:rFonts w:eastAsia="宋体"/>
                <w:spacing w:val="-2"/>
              </w:rPr>
              <w:t>Co</w:t>
            </w:r>
            <w:r w:rsidRPr="00922885">
              <w:rPr>
                <w:rFonts w:eastAsia="宋体"/>
                <w:spacing w:val="-2"/>
              </w:rPr>
              <w:t>可增加硫化物催化剂表面上的活性中心</w:t>
            </w:r>
            <w:r w:rsidR="00961785" w:rsidRPr="00922885">
              <w:rPr>
                <w:rFonts w:eastAsia="宋体"/>
                <w:spacing w:val="-2"/>
              </w:rPr>
              <w:fldChar w:fldCharType="begin"/>
            </w:r>
            <w:r w:rsidRPr="00922885">
              <w:rPr>
                <w:rFonts w:eastAsia="宋体"/>
                <w:spacing w:val="-2"/>
              </w:rPr>
              <w:instrText xml:space="preserve"> ADDIN EN.CITE &lt;EndNote&gt;&lt;Cite&gt;&lt;Author&gt;Wang&lt;/Author&gt;&lt;Year&gt;2016&lt;/Year&gt;&lt;RecNum&gt;141&lt;/RecNum&gt;&lt;DisplayText&gt;[8, 9]&lt;/DisplayText&gt;&lt;record&gt;&lt;rec-number&gt;141&lt;/rec-number&gt;&lt;foreign-keys&gt;&lt;key app="EN" db-id="rd2zv2rpndvzpne9ptav2e5q52wasx0paffp"&gt;141&lt;/key&gt;&lt;/foreign-keys&gt;&lt;ref-type name="Journal Article"&gt;17&lt;/ref-type&gt;&lt;contributors&gt;&lt;authors&gt;&lt;author&gt;Wang, Weiyan&lt;/author&gt;&lt;author&gt;Zhang, Kun&lt;/author&gt;&lt;author&gt;Li, Lu&lt;/author&gt;&lt;author&gt;Wu, Kui&lt;/author&gt;&lt;author&gt;Liu, Pengli&lt;/author&gt;&lt;author&gt;Yang, Yunquan&lt;/author&gt;&lt;/authors&gt;&lt;/contributors&gt;&lt;titles&gt;&lt;title&gt;Synthesis of Highly Active Co–Mo–S Unsupported Catalysts by a One-Step Hydrothermal Method for p-Cresol Hydrodeoxygenation&lt;/title&gt;&lt;secondary-title&gt;Industrial &amp;amp; Engineering Chemistry Research&lt;/secondary-title&gt;&lt;/titles&gt;&lt;periodical&gt;&lt;full-title&gt;Industrial &amp;amp; Engineering Chemistry Research&lt;/full-title&gt;&lt;/periodical&gt;&lt;pages&gt;19001-19009&lt;/pages&gt;&lt;volume&gt;53&lt;/volume&gt;&lt;number&gt;49&lt;/number&gt;&lt;dates&gt;&lt;year&gt;2016&lt;/year&gt;&lt;/dates&gt;&lt;urls&gt;&lt;/urls&gt;&lt;/record&gt;&lt;/Cite&gt;&lt;Cite&gt;&lt;Author&gt;Yoosuk&lt;/Author&gt;&lt;Year&gt;2012&lt;/Year&gt;&lt;RecNum&gt;312&lt;/RecNum&gt;&lt;record&gt;&lt;rec-number&gt;312&lt;/rec-number&gt;&lt;foreign-keys&gt;&lt;key app="EN" db-id="rd2zv2rpndvzpne9ptav2e5q52wasx0paffp" timestamp="1540294823"&gt;312&lt;/key&gt;&lt;key app="ENWeb" db-id=""&gt;0&lt;/key&gt;&lt;/foreign-keys&gt;&lt;ref-type name="Journal Article"&gt;17&lt;/ref-type&gt;&lt;contributors&gt;&lt;authors&gt;&lt;author&gt;Yoosuk, Boonyawan&lt;/author&gt;&lt;author&gt;Tumnantong, Dusadee&lt;/author&gt;&lt;author&gt;Prasassarakich, Pattarapan&lt;/author&gt;&lt;/authors&gt;&lt;/contributors&gt;&lt;titles&gt;&lt;title&gt;Amorphous unsupported Ni–Mo sulfide prepared by one step hydrothermal method for phenol hydrodeoxygenation&lt;/title&gt;&lt;secondary-title&gt;Fuel&lt;/secondary-title&gt;&lt;/titles&gt;&lt;periodical&gt;&lt;full-title&gt;Fuel&lt;/full-title&gt;&lt;/periodical&gt;&lt;pages&gt;246-252&lt;/pages&gt;&lt;volume&gt;91&lt;/volume&gt;&lt;number&gt;1&lt;/number&gt;&lt;dates&gt;&lt;year&gt;2012&lt;/year&gt;&lt;/dates&gt;&lt;isbn&gt;00162361&lt;/isbn&gt;&lt;urls&gt;&lt;/urls&gt;&lt;electronic-resource-num&gt;10.1016/j.fuel.2011.08.001&lt;/electronic-resource-num&gt;&lt;/record&gt;&lt;/Cite&gt;&lt;/EndNote&gt;</w:instrText>
            </w:r>
            <w:r w:rsidR="00961785" w:rsidRPr="00922885">
              <w:rPr>
                <w:rFonts w:eastAsia="宋体"/>
                <w:spacing w:val="-2"/>
              </w:rPr>
              <w:fldChar w:fldCharType="separate"/>
            </w:r>
            <w:r w:rsidRPr="00922885">
              <w:rPr>
                <w:rFonts w:eastAsia="宋体"/>
                <w:spacing w:val="-2"/>
              </w:rPr>
              <w:t>[8, 9]</w:t>
            </w:r>
            <w:r w:rsidR="00961785" w:rsidRPr="00922885">
              <w:rPr>
                <w:rFonts w:eastAsia="宋体"/>
                <w:spacing w:val="-2"/>
              </w:rPr>
              <w:fldChar w:fldCharType="end"/>
            </w:r>
            <w:r w:rsidRPr="00922885">
              <w:rPr>
                <w:rFonts w:eastAsia="宋体"/>
                <w:spacing w:val="-2"/>
              </w:rPr>
              <w:t>。在酚类化合物的</w:t>
            </w:r>
            <w:r w:rsidRPr="00922885">
              <w:rPr>
                <w:rFonts w:eastAsia="宋体"/>
                <w:spacing w:val="-2"/>
              </w:rPr>
              <w:t>HDO</w:t>
            </w:r>
            <w:r w:rsidRPr="00922885">
              <w:rPr>
                <w:rFonts w:eastAsia="宋体"/>
                <w:spacing w:val="-2"/>
              </w:rPr>
              <w:t>反应中，助剂</w:t>
            </w:r>
            <w:r w:rsidRPr="00922885">
              <w:rPr>
                <w:rFonts w:eastAsia="宋体"/>
                <w:spacing w:val="-2"/>
              </w:rPr>
              <w:t>Ni</w:t>
            </w:r>
            <w:r w:rsidRPr="00922885">
              <w:rPr>
                <w:rFonts w:eastAsia="宋体"/>
                <w:spacing w:val="-2"/>
              </w:rPr>
              <w:t>促进氢化</w:t>
            </w:r>
            <w:r w:rsidRPr="00922885">
              <w:rPr>
                <w:rFonts w:eastAsia="宋体"/>
                <w:spacing w:val="-2"/>
              </w:rPr>
              <w:t>–</w:t>
            </w:r>
            <w:r w:rsidRPr="00922885">
              <w:rPr>
                <w:rFonts w:eastAsia="宋体"/>
                <w:spacing w:val="-2"/>
              </w:rPr>
              <w:t>氢解反应路径，助剂</w:t>
            </w:r>
            <w:r w:rsidRPr="00922885">
              <w:rPr>
                <w:rFonts w:eastAsia="宋体"/>
                <w:spacing w:val="-2"/>
              </w:rPr>
              <w:t>Co</w:t>
            </w:r>
            <w:r w:rsidRPr="00922885">
              <w:rPr>
                <w:rFonts w:eastAsia="宋体"/>
                <w:spacing w:val="-2"/>
              </w:rPr>
              <w:t>对氢化</w:t>
            </w:r>
            <w:r w:rsidRPr="00922885">
              <w:rPr>
                <w:rFonts w:eastAsia="宋体"/>
                <w:spacing w:val="-2"/>
              </w:rPr>
              <w:t>–</w:t>
            </w:r>
            <w:r w:rsidRPr="00922885">
              <w:rPr>
                <w:rFonts w:eastAsia="宋体"/>
                <w:spacing w:val="-2"/>
              </w:rPr>
              <w:t>氢解和直接脱氧反应路径都有促进作用，</w:t>
            </w:r>
            <w:r w:rsidRPr="00922885">
              <w:rPr>
                <w:rFonts w:eastAsia="宋体"/>
                <w:bCs/>
                <w:spacing w:val="-2"/>
              </w:rPr>
              <w:t>当加入适量的助剂时，催化剂的活性最高</w:t>
            </w:r>
            <w:r w:rsidR="00961785" w:rsidRPr="00922885">
              <w:rPr>
                <w:rFonts w:eastAsia="宋体"/>
                <w:bCs/>
                <w:spacing w:val="-2"/>
              </w:rPr>
              <w:fldChar w:fldCharType="begin"/>
            </w:r>
            <w:r w:rsidRPr="00922885">
              <w:rPr>
                <w:rFonts w:eastAsia="宋体"/>
                <w:bCs/>
                <w:spacing w:val="-2"/>
              </w:rPr>
              <w:instrText xml:space="preserve"> ADDIN EN.CITE &lt;EndNote&gt;&lt;Cite&gt;&lt;Author&gt;Yoosuk&lt;/Author&gt;&lt;Year&gt;2012&lt;/Year&gt;&lt;RecNum&gt;312&lt;/RecNum&gt;&lt;DisplayText&gt;[9]&lt;/DisplayText&gt;&lt;record&gt;&lt;rec-number&gt;312&lt;/rec-number&gt;&lt;foreign-keys&gt;&lt;key app="EN" db-id="rd2zv2rpndvzpne9ptav2e5q52wasx0paffp" timestamp="1540294823"&gt;312&lt;/key&gt;&lt;key app="ENWeb" db-id=""&gt;0&lt;/key&gt;&lt;/foreign-keys&gt;&lt;ref-type name="Journal Article"&gt;17&lt;/ref-type&gt;&lt;contributors&gt;&lt;authors&gt;&lt;author&gt;Yoosuk, Boonyawan&lt;/author&gt;&lt;author&gt;Tumnantong, Dusadee&lt;/author&gt;&lt;author&gt;Prasassarakich, Pattarapan&lt;/author&gt;&lt;/authors&gt;&lt;/contributors&gt;&lt;titles&gt;&lt;title&gt;Amorphous unsupported Ni–Mo sulfide prepared by one step hydrothermal method for phenol hydrodeoxygenation&lt;/title&gt;&lt;secondary-title&gt;Fuel&lt;/secondary-title&gt;&lt;/titles&gt;&lt;periodical&gt;&lt;full-title&gt;Fuel&lt;/full-title&gt;&lt;/periodical&gt;&lt;pages&gt;246-252&lt;/pages&gt;&lt;volume&gt;91&lt;/volume&gt;&lt;number&gt;1&lt;/number&gt;&lt;dates&gt;&lt;year&gt;2012&lt;/year&gt;&lt;/dates&gt;&lt;isbn&gt;00162361&lt;/isbn&gt;&lt;urls&gt;&lt;/urls&gt;&lt;electronic-resource-num&gt;10.1016/j.fuel.2011.08.001&lt;/electronic-resource-num&gt;&lt;/record&gt;&lt;/Cite&gt;&lt;/EndNote&gt;</w:instrText>
            </w:r>
            <w:r w:rsidR="00961785" w:rsidRPr="00922885">
              <w:rPr>
                <w:rFonts w:eastAsia="宋体"/>
                <w:bCs/>
                <w:spacing w:val="-2"/>
              </w:rPr>
              <w:fldChar w:fldCharType="separate"/>
            </w:r>
            <w:r w:rsidRPr="00922885">
              <w:rPr>
                <w:rFonts w:eastAsia="宋体"/>
                <w:bCs/>
                <w:spacing w:val="-2"/>
              </w:rPr>
              <w:t>[9]</w:t>
            </w:r>
            <w:r w:rsidR="00961785" w:rsidRPr="00922885">
              <w:rPr>
                <w:rFonts w:eastAsia="宋体"/>
                <w:bCs/>
                <w:spacing w:val="-2"/>
              </w:rPr>
              <w:fldChar w:fldCharType="end"/>
            </w:r>
            <w:r w:rsidRPr="00922885">
              <w:rPr>
                <w:rFonts w:eastAsia="宋体"/>
                <w:bCs/>
                <w:spacing w:val="-2"/>
              </w:rPr>
              <w:t>。</w:t>
            </w:r>
            <w:r w:rsidRPr="00922885">
              <w:rPr>
                <w:rFonts w:eastAsia="宋体"/>
                <w:spacing w:val="-2"/>
              </w:rPr>
              <w:t>载体对</w:t>
            </w:r>
            <w:r w:rsidRPr="00922885">
              <w:rPr>
                <w:rFonts w:eastAsia="宋体"/>
                <w:bCs/>
                <w:spacing w:val="-2"/>
              </w:rPr>
              <w:t>硫化负载型催化剂的催化活性也有很大的影响，如在</w:t>
            </w:r>
            <w:r w:rsidRPr="00922885">
              <w:rPr>
                <w:rFonts w:eastAsia="宋体"/>
                <w:spacing w:val="-2"/>
              </w:rPr>
              <w:t>邻甲氧基苯酚的</w:t>
            </w:r>
            <w:r w:rsidRPr="00922885">
              <w:rPr>
                <w:rFonts w:eastAsia="宋体"/>
                <w:spacing w:val="-2"/>
              </w:rPr>
              <w:t>HDO</w:t>
            </w:r>
            <w:r w:rsidRPr="00922885">
              <w:rPr>
                <w:rFonts w:eastAsia="宋体"/>
                <w:spacing w:val="-2"/>
              </w:rPr>
              <w:t>反应中，</w:t>
            </w:r>
            <w:r w:rsidRPr="00922885">
              <w:rPr>
                <w:rFonts w:eastAsia="宋体"/>
                <w:bCs/>
                <w:spacing w:val="-2"/>
              </w:rPr>
              <w:t>MoS</w:t>
            </w:r>
            <w:r w:rsidRPr="00922885">
              <w:rPr>
                <w:rFonts w:eastAsia="宋体"/>
                <w:bCs/>
                <w:spacing w:val="-2"/>
                <w:vertAlign w:val="subscript"/>
              </w:rPr>
              <w:t>2</w:t>
            </w:r>
            <w:r w:rsidRPr="00922885">
              <w:rPr>
                <w:rFonts w:eastAsia="宋体"/>
                <w:bCs/>
                <w:spacing w:val="-2"/>
              </w:rPr>
              <w:t>/TiO</w:t>
            </w:r>
            <w:r w:rsidRPr="00922885">
              <w:rPr>
                <w:rFonts w:eastAsia="宋体"/>
                <w:bCs/>
                <w:spacing w:val="-2"/>
                <w:vertAlign w:val="subscript"/>
              </w:rPr>
              <w:t>2</w:t>
            </w:r>
            <w:r w:rsidRPr="00922885">
              <w:rPr>
                <w:rFonts w:eastAsia="宋体"/>
                <w:bCs/>
                <w:spacing w:val="-2"/>
              </w:rPr>
              <w:t>催化原料的转化速率是</w:t>
            </w:r>
            <w:r w:rsidRPr="00922885">
              <w:rPr>
                <w:rFonts w:eastAsia="宋体"/>
                <w:bCs/>
                <w:spacing w:val="-2"/>
              </w:rPr>
              <w:t>MoS</w:t>
            </w:r>
            <w:r w:rsidRPr="00922885">
              <w:rPr>
                <w:rFonts w:eastAsia="宋体"/>
                <w:bCs/>
                <w:spacing w:val="-2"/>
                <w:vertAlign w:val="subscript"/>
              </w:rPr>
              <w:t>2</w:t>
            </w:r>
            <w:r w:rsidRPr="00922885">
              <w:rPr>
                <w:rFonts w:eastAsia="宋体"/>
                <w:bCs/>
                <w:spacing w:val="-2"/>
              </w:rPr>
              <w:t>/</w:t>
            </w:r>
            <w:r w:rsidRPr="00922885">
              <w:rPr>
                <w:rFonts w:eastAsia="宋体"/>
                <w:spacing w:val="-2"/>
                <w:kern w:val="0"/>
              </w:rPr>
              <w:t>γ–</w:t>
            </w:r>
            <w:r w:rsidRPr="00922885">
              <w:rPr>
                <w:rFonts w:eastAsia="宋体"/>
                <w:bCs/>
                <w:spacing w:val="-2"/>
              </w:rPr>
              <w:t>Al</w:t>
            </w:r>
            <w:r w:rsidRPr="00922885">
              <w:rPr>
                <w:rFonts w:eastAsia="宋体"/>
                <w:bCs/>
                <w:spacing w:val="-2"/>
                <w:vertAlign w:val="subscript"/>
              </w:rPr>
              <w:t>2</w:t>
            </w:r>
            <w:r w:rsidRPr="00922885">
              <w:rPr>
                <w:rFonts w:eastAsia="宋体"/>
                <w:bCs/>
                <w:spacing w:val="-2"/>
              </w:rPr>
              <w:t>O</w:t>
            </w:r>
            <w:r w:rsidRPr="00922885">
              <w:rPr>
                <w:rFonts w:eastAsia="宋体"/>
                <w:bCs/>
                <w:spacing w:val="-2"/>
                <w:vertAlign w:val="subscript"/>
              </w:rPr>
              <w:t>3</w:t>
            </w:r>
            <w:r w:rsidRPr="00922885">
              <w:rPr>
                <w:rFonts w:eastAsia="宋体"/>
                <w:bCs/>
                <w:spacing w:val="-2"/>
              </w:rPr>
              <w:t>的两倍，</w:t>
            </w:r>
            <w:r w:rsidRPr="00922885">
              <w:rPr>
                <w:rFonts w:eastAsia="宋体"/>
                <w:bCs/>
                <w:spacing w:val="-2"/>
              </w:rPr>
              <w:t>MoS</w:t>
            </w:r>
            <w:r w:rsidRPr="00922885">
              <w:rPr>
                <w:rFonts w:eastAsia="宋体"/>
                <w:bCs/>
                <w:spacing w:val="-2"/>
                <w:vertAlign w:val="subscript"/>
              </w:rPr>
              <w:t>2</w:t>
            </w:r>
            <w:r w:rsidRPr="00922885">
              <w:rPr>
                <w:rFonts w:eastAsia="宋体"/>
                <w:bCs/>
                <w:spacing w:val="-2"/>
              </w:rPr>
              <w:t>/ZrO</w:t>
            </w:r>
            <w:r w:rsidRPr="00922885">
              <w:rPr>
                <w:rFonts w:eastAsia="宋体"/>
                <w:bCs/>
                <w:spacing w:val="-2"/>
                <w:vertAlign w:val="subscript"/>
              </w:rPr>
              <w:t>2</w:t>
            </w:r>
            <w:r w:rsidRPr="00922885">
              <w:rPr>
                <w:rFonts w:eastAsia="宋体"/>
                <w:bCs/>
                <w:spacing w:val="-2"/>
              </w:rPr>
              <w:t>催化原料的脱氧率最高，</w:t>
            </w:r>
            <w:r w:rsidRPr="00922885">
              <w:rPr>
                <w:rFonts w:eastAsia="宋体"/>
                <w:spacing w:val="-2"/>
              </w:rPr>
              <w:t>反应后</w:t>
            </w:r>
            <w:r w:rsidRPr="00922885">
              <w:rPr>
                <w:rFonts w:eastAsia="宋体"/>
                <w:bCs/>
                <w:spacing w:val="-2"/>
              </w:rPr>
              <w:t>产物中含有大量的苯，而</w:t>
            </w:r>
            <w:r w:rsidRPr="00922885">
              <w:rPr>
                <w:rFonts w:eastAsia="宋体"/>
                <w:bCs/>
                <w:spacing w:val="-2"/>
              </w:rPr>
              <w:t>CoMoS/TiO</w:t>
            </w:r>
            <w:r w:rsidRPr="00922885">
              <w:rPr>
                <w:rFonts w:eastAsia="宋体"/>
                <w:bCs/>
                <w:spacing w:val="-2"/>
                <w:vertAlign w:val="subscript"/>
              </w:rPr>
              <w:t>2</w:t>
            </w:r>
            <w:r w:rsidRPr="00922885">
              <w:rPr>
                <w:rFonts w:eastAsia="宋体"/>
                <w:bCs/>
                <w:spacing w:val="-2"/>
              </w:rPr>
              <w:t>和</w:t>
            </w:r>
            <w:r w:rsidRPr="00922885">
              <w:rPr>
                <w:rFonts w:eastAsia="宋体"/>
                <w:bCs/>
                <w:spacing w:val="-2"/>
              </w:rPr>
              <w:t>CoMoS/</w:t>
            </w:r>
            <w:r w:rsidRPr="00922885">
              <w:rPr>
                <w:rFonts w:eastAsia="宋体"/>
                <w:spacing w:val="-2"/>
                <w:kern w:val="0"/>
              </w:rPr>
              <w:t>γ–</w:t>
            </w:r>
            <w:r w:rsidRPr="00922885">
              <w:rPr>
                <w:rFonts w:eastAsia="宋体"/>
                <w:bCs/>
                <w:spacing w:val="-2"/>
              </w:rPr>
              <w:t>Al</w:t>
            </w:r>
            <w:r w:rsidRPr="00922885">
              <w:rPr>
                <w:rFonts w:eastAsia="宋体"/>
                <w:bCs/>
                <w:spacing w:val="-2"/>
                <w:vertAlign w:val="subscript"/>
              </w:rPr>
              <w:t>2</w:t>
            </w:r>
            <w:r w:rsidRPr="00922885">
              <w:rPr>
                <w:rFonts w:eastAsia="宋体"/>
                <w:bCs/>
                <w:spacing w:val="-2"/>
              </w:rPr>
              <w:t>O</w:t>
            </w:r>
            <w:r w:rsidRPr="00922885">
              <w:rPr>
                <w:rFonts w:eastAsia="宋体"/>
                <w:bCs/>
                <w:spacing w:val="-2"/>
                <w:vertAlign w:val="subscript"/>
              </w:rPr>
              <w:t>3</w:t>
            </w:r>
            <w:r w:rsidRPr="00922885">
              <w:rPr>
                <w:rFonts w:eastAsia="宋体"/>
                <w:bCs/>
                <w:spacing w:val="-2"/>
              </w:rPr>
              <w:t>催化</w:t>
            </w:r>
            <w:r w:rsidRPr="00922885">
              <w:rPr>
                <w:rFonts w:eastAsia="宋体"/>
                <w:spacing w:val="-2"/>
              </w:rPr>
              <w:t>邻甲氧基苯酚</w:t>
            </w:r>
            <w:r w:rsidRPr="00922885">
              <w:rPr>
                <w:rFonts w:eastAsia="宋体"/>
                <w:spacing w:val="-2"/>
              </w:rPr>
              <w:t>HDO</w:t>
            </w:r>
            <w:r w:rsidRPr="00922885">
              <w:rPr>
                <w:rFonts w:eastAsia="宋体"/>
                <w:spacing w:val="-2"/>
              </w:rPr>
              <w:t>反应生成等量的苯和环己烯，</w:t>
            </w:r>
            <w:r w:rsidRPr="00922885">
              <w:rPr>
                <w:rFonts w:eastAsia="宋体"/>
                <w:bCs/>
                <w:spacing w:val="-2"/>
              </w:rPr>
              <w:t>CoMoS/ZrO</w:t>
            </w:r>
            <w:r w:rsidRPr="00922885">
              <w:rPr>
                <w:rFonts w:eastAsia="宋体"/>
                <w:bCs/>
                <w:spacing w:val="-2"/>
                <w:vertAlign w:val="subscript"/>
              </w:rPr>
              <w:t>2</w:t>
            </w:r>
            <w:r w:rsidRPr="00922885">
              <w:rPr>
                <w:rFonts w:eastAsia="宋体"/>
                <w:bCs/>
                <w:spacing w:val="-2"/>
              </w:rPr>
              <w:t>具有最高的氢解活性</w:t>
            </w:r>
            <w:r w:rsidR="00961785" w:rsidRPr="00922885">
              <w:rPr>
                <w:rFonts w:eastAsia="宋体"/>
                <w:bCs/>
                <w:spacing w:val="-2"/>
              </w:rPr>
              <w:fldChar w:fldCharType="begin"/>
            </w:r>
            <w:r w:rsidRPr="00922885">
              <w:rPr>
                <w:rFonts w:eastAsia="宋体"/>
                <w:bCs/>
                <w:spacing w:val="-2"/>
              </w:rPr>
              <w:instrText xml:space="preserve"> ADDIN EN.CITE </w:instrText>
            </w:r>
            <w:r w:rsidR="00961785" w:rsidRPr="00922885">
              <w:rPr>
                <w:rFonts w:eastAsia="宋体"/>
                <w:bCs/>
                <w:spacing w:val="-2"/>
              </w:rPr>
              <w:fldChar w:fldCharType="begin"/>
            </w:r>
            <w:r w:rsidRPr="00922885">
              <w:rPr>
                <w:rFonts w:eastAsia="宋体"/>
                <w:bCs/>
                <w:spacing w:val="-2"/>
              </w:rPr>
              <w:instrText xml:space="preserve"> ADDIN EN.CITE.DATA </w:instrText>
            </w:r>
            <w:r w:rsidR="00961785" w:rsidRPr="00922885">
              <w:rPr>
                <w:rFonts w:eastAsia="宋体"/>
                <w:bCs/>
                <w:spacing w:val="-2"/>
              </w:rPr>
              <w:fldChar w:fldCharType="end"/>
            </w:r>
            <w:r w:rsidR="00961785" w:rsidRPr="00922885">
              <w:rPr>
                <w:rFonts w:eastAsia="宋体"/>
                <w:bCs/>
                <w:spacing w:val="-2"/>
              </w:rPr>
              <w:fldChar w:fldCharType="separate"/>
            </w:r>
            <w:r w:rsidRPr="00922885">
              <w:rPr>
                <w:rFonts w:eastAsia="宋体"/>
                <w:bCs/>
                <w:spacing w:val="-2"/>
              </w:rPr>
              <w:t>[10, 11]</w:t>
            </w:r>
            <w:r w:rsidR="00961785" w:rsidRPr="00922885">
              <w:rPr>
                <w:rFonts w:eastAsia="宋体"/>
                <w:bCs/>
                <w:spacing w:val="-2"/>
              </w:rPr>
              <w:fldChar w:fldCharType="end"/>
            </w:r>
            <w:r w:rsidRPr="00922885">
              <w:rPr>
                <w:rFonts w:eastAsia="宋体"/>
                <w:bCs/>
                <w:spacing w:val="-2"/>
              </w:rPr>
              <w:t>。</w:t>
            </w:r>
            <w:r w:rsidRPr="00922885">
              <w:rPr>
                <w:rFonts w:eastAsia="宋体"/>
                <w:spacing w:val="-2"/>
              </w:rPr>
              <w:t>在</w:t>
            </w:r>
            <w:r w:rsidRPr="00922885">
              <w:rPr>
                <w:rFonts w:eastAsia="宋体"/>
                <w:spacing w:val="-2"/>
              </w:rPr>
              <w:t>HDO</w:t>
            </w:r>
            <w:r w:rsidRPr="00922885">
              <w:rPr>
                <w:rFonts w:eastAsia="宋体"/>
                <w:bCs/>
                <w:spacing w:val="-2"/>
              </w:rPr>
              <w:t>反应过程中，硫化物催化剂边缘</w:t>
            </w:r>
            <w:r w:rsidRPr="00922885">
              <w:rPr>
                <w:rFonts w:eastAsia="宋体"/>
                <w:bCs/>
                <w:spacing w:val="-2"/>
              </w:rPr>
              <w:t>S</w:t>
            </w:r>
            <w:r w:rsidRPr="00922885">
              <w:rPr>
                <w:rFonts w:eastAsia="宋体"/>
                <w:bCs/>
                <w:spacing w:val="-2"/>
              </w:rPr>
              <w:t>原子逐渐被反应体系中</w:t>
            </w:r>
            <w:r w:rsidRPr="00922885">
              <w:rPr>
                <w:rFonts w:eastAsia="宋体"/>
                <w:bCs/>
                <w:spacing w:val="-2"/>
              </w:rPr>
              <w:t>O</w:t>
            </w:r>
            <w:r w:rsidRPr="00922885">
              <w:rPr>
                <w:rFonts w:eastAsia="宋体"/>
                <w:bCs/>
                <w:spacing w:val="-2"/>
              </w:rPr>
              <w:t>原子取代，从而降低催化剂的催化活性，加入助剂</w:t>
            </w:r>
            <w:r w:rsidRPr="00922885">
              <w:rPr>
                <w:rFonts w:eastAsia="宋体"/>
                <w:bCs/>
                <w:spacing w:val="-2"/>
              </w:rPr>
              <w:t>Co</w:t>
            </w:r>
            <w:r w:rsidRPr="00922885">
              <w:rPr>
                <w:rFonts w:eastAsia="宋体"/>
                <w:bCs/>
                <w:spacing w:val="-2"/>
              </w:rPr>
              <w:t>可减慢</w:t>
            </w:r>
            <w:r w:rsidRPr="00922885">
              <w:rPr>
                <w:rFonts w:eastAsia="宋体"/>
                <w:bCs/>
                <w:spacing w:val="-2"/>
              </w:rPr>
              <w:t>S–O</w:t>
            </w:r>
            <w:r w:rsidRPr="00922885">
              <w:rPr>
                <w:rFonts w:eastAsia="宋体"/>
                <w:bCs/>
                <w:spacing w:val="-2"/>
              </w:rPr>
              <w:t>交换，提高催化剂的</w:t>
            </w:r>
            <w:r w:rsidRPr="00922885">
              <w:rPr>
                <w:rFonts w:eastAsia="宋体"/>
                <w:bCs/>
                <w:spacing w:val="-2"/>
              </w:rPr>
              <w:t>HDO</w:t>
            </w:r>
            <w:r w:rsidRPr="00922885">
              <w:rPr>
                <w:rFonts w:eastAsia="宋体"/>
                <w:bCs/>
                <w:spacing w:val="-2"/>
              </w:rPr>
              <w:t>活性和使用寿命</w:t>
            </w:r>
            <w:r w:rsidR="00961785" w:rsidRPr="00922885">
              <w:rPr>
                <w:rFonts w:eastAsia="宋体"/>
                <w:bCs/>
                <w:spacing w:val="-2"/>
              </w:rPr>
              <w:fldChar w:fldCharType="begin"/>
            </w:r>
            <w:r w:rsidRPr="00922885">
              <w:rPr>
                <w:rFonts w:eastAsia="宋体"/>
                <w:bCs/>
                <w:spacing w:val="-2"/>
              </w:rPr>
              <w:instrText xml:space="preserve"> ADDIN EN.CITE &lt;EndNote&gt;&lt;Cite&gt;&lt;Author&gt;Badawi&lt;/Author&gt;&lt;Year&gt;2011&lt;/Year&gt;&lt;RecNum&gt;230&lt;/RecNum&gt;&lt;DisplayText&gt;[12]&lt;/DisplayText&gt;&lt;record&gt;&lt;rec-number&gt;230&lt;/rec-number&gt;&lt;foreign-keys&gt;&lt;key app="EN" db-id="rd2zv2rpndvzpne9ptav2e5q52wasx0paffp" timestamp="1517545457"&gt;230&lt;/key&gt;&lt;/foreign-keys&gt;&lt;ref-type name="Journal Article"&gt;17&lt;/ref-type&gt;&lt;contributors&gt;&lt;authors&gt;&lt;author&gt;Badawi, M.&lt;/author&gt;&lt;author&gt;Paul, J. F.&lt;/author&gt;&lt;author&gt;Cristol, S.&lt;/author&gt;&lt;author&gt;Payen, E.&lt;/author&gt;&lt;author&gt;Romero, Y.&lt;/author&gt;&lt;author&gt;Richard, F.&lt;/author&gt;&lt;author&gt;Brunet, S.&lt;/author&gt;&lt;author&gt;Lambert, D.&lt;/author&gt;&lt;author&gt;Portier, X.&lt;/author&gt;&lt;author&gt;Popov, A.&lt;/author&gt;&lt;/authors&gt;&lt;/contributors&gt;&lt;titles&gt;&lt;title&gt;Effect of water on the stability of Mo and CoMo hydrodeoxygenation catalysts: A combined experimental and DFT study&lt;/title&gt;&lt;secondary-title&gt;Journal of Catalysis&lt;/secondary-title&gt;&lt;/titles&gt;&lt;periodical&gt;&lt;full-title&gt;Journal of Catalysis&lt;/full-title&gt;&lt;/periodical&gt;&lt;pages&gt;155-164&lt;/pages&gt;&lt;volume&gt;282&lt;/volume&gt;&lt;number&gt;1&lt;/number&gt;&lt;keywords&gt;&lt;keyword&gt;Density functional theory (DFT&lt;/keyword&gt;&lt;keyword&gt;Infrared spectroscopy&lt;/keyword&gt;&lt;keyword&gt;Carbon monoxide&lt;/keyword&gt;&lt;keyword&gt;HRTEM&lt;/keyword&gt;&lt;keyword&gt;Hydrodeoxygenation (HDO&lt;/keyword&gt;&lt;keyword&gt;MoS 2&lt;/keyword&gt;&lt;keyword&gt;CoMoS&lt;/keyword&gt;&lt;keyword&gt;Water&lt;/keyword&gt;&lt;/keywords&gt;&lt;dates&gt;&lt;year&gt;2011&lt;/year&gt;&lt;/dates&gt;&lt;urls&gt;&lt;/urls&gt;&lt;/record&gt;&lt;/Cite&gt;&lt;/EndNote&gt;</w:instrText>
            </w:r>
            <w:r w:rsidR="00961785" w:rsidRPr="00922885">
              <w:rPr>
                <w:rFonts w:eastAsia="宋体"/>
                <w:bCs/>
                <w:spacing w:val="-2"/>
              </w:rPr>
              <w:fldChar w:fldCharType="separate"/>
            </w:r>
            <w:r w:rsidRPr="00922885">
              <w:rPr>
                <w:rFonts w:eastAsia="宋体"/>
                <w:bCs/>
                <w:spacing w:val="-2"/>
              </w:rPr>
              <w:t>[12]</w:t>
            </w:r>
            <w:r w:rsidR="00961785" w:rsidRPr="00922885">
              <w:rPr>
                <w:rFonts w:eastAsia="宋体"/>
                <w:bCs/>
                <w:spacing w:val="-2"/>
              </w:rPr>
              <w:fldChar w:fldCharType="end"/>
            </w:r>
            <w:r w:rsidRPr="00922885">
              <w:rPr>
                <w:rFonts w:eastAsia="宋体"/>
                <w:bCs/>
                <w:spacing w:val="-2"/>
              </w:rPr>
              <w:t>。</w:t>
            </w:r>
          </w:p>
          <w:p w:rsidR="00961785" w:rsidRDefault="00056610" w:rsidP="00922885">
            <w:pPr>
              <w:snapToGrid w:val="0"/>
              <w:spacing w:line="336" w:lineRule="auto"/>
              <w:ind w:firstLineChars="200" w:firstLine="480"/>
              <w:rPr>
                <w:sz w:val="24"/>
              </w:rPr>
            </w:pPr>
            <w:r>
              <w:rPr>
                <w:sz w:val="24"/>
                <w:szCs w:val="20"/>
              </w:rPr>
              <w:t>（</w:t>
            </w:r>
            <w:r>
              <w:rPr>
                <w:sz w:val="24"/>
                <w:szCs w:val="20"/>
              </w:rPr>
              <w:t>3</w:t>
            </w:r>
            <w:r>
              <w:rPr>
                <w:sz w:val="24"/>
                <w:szCs w:val="20"/>
              </w:rPr>
              <w:t>）</w:t>
            </w:r>
            <w:r>
              <w:rPr>
                <w:sz w:val="24"/>
              </w:rPr>
              <w:t>非晶态硼化物催化剂。本课题组根据非晶态催化剂的独特结构表现出来的优良催化活性，设计和制备出具有强加氢活性、强</w:t>
            </w:r>
            <w:r>
              <w:rPr>
                <w:sz w:val="24"/>
              </w:rPr>
              <w:t>B</w:t>
            </w:r>
            <w:r>
              <w:rPr>
                <w:sz w:val="24"/>
              </w:rPr>
              <w:t>酸酸性的非晶态</w:t>
            </w:r>
            <w:r>
              <w:rPr>
                <w:sz w:val="24"/>
              </w:rPr>
              <w:t>Ni–W–B</w:t>
            </w:r>
            <w:r>
              <w:rPr>
                <w:sz w:val="24"/>
              </w:rPr>
              <w:t>催化剂，通过添加助剂</w:t>
            </w:r>
            <w:r>
              <w:rPr>
                <w:sz w:val="24"/>
              </w:rPr>
              <w:t xml:space="preserve">Ce </w:t>
            </w:r>
            <w:r>
              <w:rPr>
                <w:sz w:val="24"/>
              </w:rPr>
              <w:t>还可增强催化剂的加氢和脱氧活性</w:t>
            </w:r>
            <w:r w:rsidR="00961785">
              <w:rPr>
                <w:sz w:val="24"/>
              </w:rPr>
              <w:fldChar w:fldCharType="begin"/>
            </w:r>
            <w:r>
              <w:rPr>
                <w:sz w:val="24"/>
              </w:rPr>
              <w:instrText xml:space="preserve"> ADDIN EN.CITE &lt;EndNote&gt;&lt;Cite&gt;&lt;Author&gt;Wang&lt;/Author&gt;&lt;Year&gt;2014&lt;/Year&gt;&lt;RecNum&gt;160&lt;/RecNum&gt;&lt;DisplayText&gt;[13]&lt;/DisplayText&gt;&lt;record&gt;&lt;rec-number&gt;160&lt;/rec-number&gt;&lt;foreign-keys&gt;&lt;key app="EN" db-id="rd2zv2rpndvzpne9ptav2e5q52wasx0paffp"&gt;160&lt;/key&gt;&lt;/foreign-keys&gt;&lt;ref-type name="Journal Article"&gt;17&lt;/ref-type&gt;&lt;contributors&gt;&lt;authors&gt;&lt;author&gt;Weiyan Wang&lt;/author&gt;&lt;author&gt;Zhiqiang Qiao&lt;/author&gt;&lt;author&gt;Kun Zhang&lt;/author&gt;&lt;author&gt;Pengli Liu&lt;/author&gt;&lt;author&gt;Yunquan Yang&lt;/author&gt;&lt;author&gt;Kui Wu&lt;/author&gt;&lt;/authors&gt;&lt;/contributors&gt;&lt;titles&gt;&lt;title&gt;Highly selective catalytic hydrodeoxygenation of Caromatic–OH in bio-oil to cycloalkanes on a Ce–Ni–W–B amorphous catalyst&lt;/title&gt;&lt;secondary-title&gt;RSC Advances&lt;/secondary-title&gt;&lt;/titles&gt;&lt;periodical&gt;&lt;full-title&gt;RSC Advances&lt;/full-title&gt;&lt;/periodical&gt;&lt;pages&gt;37288-37295&lt;/pages&gt;&lt;volume&gt;4&lt;/volume&gt;&lt;number&gt;70&lt;/number&gt;&lt;keywords&gt;&lt;keyword&gt;Gold&lt;/keyword&gt;&lt;keyword&gt;Etching&lt;/keyword&gt;&lt;keyword&gt;Plasma&lt;/keyword&gt;&lt;keyword&gt;Microfabrication&lt;/keyword&gt;&lt;keyword&gt;MEMS&lt;/keyword&gt;&lt;/keywords&gt;&lt;dates&gt;&lt;year&gt;2014&lt;/year&gt;&lt;/dates&gt;&lt;urls&gt;&lt;/urls&gt;&lt;/record&gt;&lt;/Cite&gt;&lt;/EndNote&gt;</w:instrText>
            </w:r>
            <w:r w:rsidR="00961785">
              <w:rPr>
                <w:sz w:val="24"/>
              </w:rPr>
              <w:fldChar w:fldCharType="separate"/>
            </w:r>
            <w:r>
              <w:rPr>
                <w:sz w:val="24"/>
              </w:rPr>
              <w:t>[13]</w:t>
            </w:r>
            <w:r w:rsidR="00961785">
              <w:rPr>
                <w:sz w:val="24"/>
              </w:rPr>
              <w:fldChar w:fldCharType="end"/>
            </w:r>
            <w:r>
              <w:rPr>
                <w:sz w:val="24"/>
              </w:rPr>
              <w:t>。在此基础上，加入氨水或缓冲溶液至催化剂的制备过程中，使镍离子形成络合物，可调节催化剂表面的加氢和脱氧活性中心的比例</w:t>
            </w:r>
            <w:r w:rsidR="00961785">
              <w:rPr>
                <w:sz w:val="24"/>
              </w:rPr>
              <w:fldChar w:fldCharType="begin"/>
            </w:r>
            <w:r>
              <w:rPr>
                <w:sz w:val="24"/>
              </w:rPr>
              <w:instrText xml:space="preserve"> ADDIN EN.CITE </w:instrText>
            </w:r>
            <w:r w:rsidR="00961785">
              <w:rPr>
                <w:sz w:val="24"/>
              </w:rPr>
              <w:fldChar w:fldCharType="begin"/>
            </w:r>
            <w:r>
              <w:rPr>
                <w:sz w:val="24"/>
              </w:rPr>
              <w:instrText xml:space="preserve"> ADDIN EN.CITE.DATA </w:instrText>
            </w:r>
            <w:r w:rsidR="00961785">
              <w:rPr>
                <w:sz w:val="24"/>
              </w:rPr>
              <w:fldChar w:fldCharType="end"/>
            </w:r>
            <w:r w:rsidR="00961785">
              <w:rPr>
                <w:sz w:val="24"/>
              </w:rPr>
              <w:fldChar w:fldCharType="separate"/>
            </w:r>
            <w:r>
              <w:rPr>
                <w:sz w:val="24"/>
              </w:rPr>
              <w:t>[14, 15]</w:t>
            </w:r>
            <w:r w:rsidR="00961785">
              <w:rPr>
                <w:sz w:val="24"/>
              </w:rPr>
              <w:fldChar w:fldCharType="end"/>
            </w:r>
            <w:r>
              <w:rPr>
                <w:sz w:val="24"/>
              </w:rPr>
              <w:t>。由于</w:t>
            </w:r>
            <w:r>
              <w:rPr>
                <w:sz w:val="24"/>
              </w:rPr>
              <w:t>HDO</w:t>
            </w:r>
            <w:r>
              <w:rPr>
                <w:sz w:val="24"/>
              </w:rPr>
              <w:t>生成的水影响非晶态催化剂的结构，导致催化剂活性降低，我们进一步提出制备疏水型催化剂，阻止水与催化剂表面的接触，以具有较强疏水性的石墨烯为载体，通过一锅法制备出</w:t>
            </w:r>
            <w:r>
              <w:rPr>
                <w:sz w:val="24"/>
              </w:rPr>
              <w:t>Ni(Co)–B–P–O/</w:t>
            </w:r>
            <w:r>
              <w:rPr>
                <w:sz w:val="24"/>
              </w:rPr>
              <w:t>还原石墨烯负载型催化剂，在催化对甲基苯酚的</w:t>
            </w:r>
            <w:r>
              <w:rPr>
                <w:sz w:val="24"/>
              </w:rPr>
              <w:t>HDO</w:t>
            </w:r>
            <w:r>
              <w:rPr>
                <w:sz w:val="24"/>
              </w:rPr>
              <w:t>反应中，催化剂的活性和稳定都得到提高</w:t>
            </w:r>
            <w:r w:rsidR="00961785">
              <w:rPr>
                <w:sz w:val="24"/>
              </w:rPr>
              <w:fldChar w:fldCharType="begin"/>
            </w:r>
            <w:r>
              <w:rPr>
                <w:sz w:val="24"/>
              </w:rPr>
              <w:instrText xml:space="preserve"> ADDIN EN.CITE &lt;EndNote&gt;&lt;Cite&gt;&lt;Author&gt;Wang&lt;/Author&gt;&lt;Year&gt;2016&lt;/Year&gt;&lt;RecNum&gt;19&lt;/RecNum&gt;&lt;DisplayText&gt;[16]&lt;/DisplayText&gt;&lt;record&gt;&lt;rec-number&gt;19&lt;/rec-number&gt;&lt;foreign-keys&gt;&lt;key app="EN" db-id="rd2zv2rpndvzpne9ptav2e5q52wasx0paffp" timestamp="1511835952"&gt;19&lt;/key&gt;&lt;key app="ENWeb" db-id=""&gt;0&lt;/key&gt;&lt;/foreign-keys&gt;&lt;ref-type name="Journal Article"&gt;17&lt;/ref-type&gt;&lt;contributors&gt;&lt;authors&gt;&lt;author&gt;Wang, Weiyan&lt;/author&gt;&lt;author&gt;Liu, Pengli&lt;/author&gt;&lt;author&gt;Wu, Kui&lt;/author&gt;&lt;author&gt;Tan, Song&lt;/author&gt;&lt;author&gt;Li, Wensong&lt;/author&gt;&lt;author&gt;Yang, Yunquan&lt;/author&gt;&lt;/authors&gt;&lt;/contributors&gt;&lt;titles&gt;&lt;title&gt;Preparation of hydrophobic reduced graphene oxide supported Ni-B-P-O and Co-B-P-O catalysts and their high hydrodeoxygenation activities&lt;/title&gt;&lt;secondary-title&gt;Green Chemistry&lt;/secondary-title&gt;&lt;/titles&gt;&lt;periodical&gt;&lt;full-title&gt;Green Chemistry&lt;/full-title&gt;&lt;/periodical&gt;&lt;pages&gt;984-988&lt;/pages&gt;&lt;volume&gt;18&lt;/volume&gt;&lt;number&gt;4&lt;/number&gt;&lt;dates&gt;&lt;year&gt;2016&lt;/year&gt;&lt;/dates&gt;&lt;isbn&gt;1463-9262&amp;#xD;1463-9270&lt;/isbn&gt;&lt;urls&gt;&lt;/urls&gt;&lt;electronic-resource-num&gt;10.1039/c5gc02073e&lt;/electronic-resource-num&gt;&lt;/record&gt;&lt;/Cite&gt;&lt;/EndNote&gt;</w:instrText>
            </w:r>
            <w:r w:rsidR="00961785">
              <w:rPr>
                <w:sz w:val="24"/>
              </w:rPr>
              <w:fldChar w:fldCharType="separate"/>
            </w:r>
            <w:r>
              <w:rPr>
                <w:sz w:val="24"/>
              </w:rPr>
              <w:t>[16]</w:t>
            </w:r>
            <w:r w:rsidR="00961785">
              <w:rPr>
                <w:sz w:val="24"/>
              </w:rPr>
              <w:fldChar w:fldCharType="end"/>
            </w:r>
            <w:r>
              <w:rPr>
                <w:sz w:val="24"/>
              </w:rPr>
              <w:t>。该类催化剂的强加氢活性使</w:t>
            </w:r>
            <w:r>
              <w:rPr>
                <w:sz w:val="24"/>
              </w:rPr>
              <w:t xml:space="preserve">AR–OH </w:t>
            </w:r>
            <w:r>
              <w:rPr>
                <w:sz w:val="24"/>
              </w:rPr>
              <w:t>先转变成为</w:t>
            </w:r>
            <w:r>
              <w:rPr>
                <w:sz w:val="24"/>
              </w:rPr>
              <w:t>R–OH</w:t>
            </w:r>
            <w:r>
              <w:rPr>
                <w:sz w:val="24"/>
              </w:rPr>
              <w:t>，从而降低了反应温度，在</w:t>
            </w:r>
            <w:r>
              <w:rPr>
                <w:sz w:val="24"/>
              </w:rPr>
              <w:t>225</w:t>
            </w:r>
            <w:r>
              <w:rPr>
                <w:rFonts w:ascii="宋体" w:hAnsi="宋体" w:cs="宋体" w:hint="eastAsia"/>
                <w:sz w:val="24"/>
              </w:rPr>
              <w:t>℃</w:t>
            </w:r>
            <w:r>
              <w:rPr>
                <w:sz w:val="24"/>
              </w:rPr>
              <w:t>下催化酚类化合物的脱氧率可达到</w:t>
            </w:r>
            <w:r>
              <w:rPr>
                <w:sz w:val="24"/>
              </w:rPr>
              <w:t>95%</w:t>
            </w:r>
            <w:r>
              <w:rPr>
                <w:sz w:val="24"/>
              </w:rPr>
              <w:t>以上，但加氢产物的选择性大于</w:t>
            </w:r>
            <w:r>
              <w:rPr>
                <w:sz w:val="24"/>
              </w:rPr>
              <w:t>90%</w:t>
            </w:r>
            <w:r>
              <w:rPr>
                <w:sz w:val="24"/>
              </w:rPr>
              <w:t>，使脱氧后产物的辛烷值下降，且氢气消耗量较大。</w:t>
            </w:r>
          </w:p>
          <w:p w:rsidR="00961785" w:rsidRDefault="00056610" w:rsidP="00922885">
            <w:pPr>
              <w:pStyle w:val="duanluo"/>
              <w:snapToGrid w:val="0"/>
              <w:spacing w:line="336" w:lineRule="auto"/>
              <w:ind w:leftChars="0" w:left="0" w:rightChars="0" w:right="0" w:firstLine="480"/>
              <w:rPr>
                <w:rFonts w:eastAsia="宋体"/>
              </w:rPr>
            </w:pPr>
            <w:r>
              <w:rPr>
                <w:rFonts w:eastAsia="宋体"/>
              </w:rPr>
              <w:t>（</w:t>
            </w:r>
            <w:r>
              <w:rPr>
                <w:rFonts w:eastAsia="宋体"/>
              </w:rPr>
              <w:t>4</w:t>
            </w:r>
            <w:r>
              <w:rPr>
                <w:rFonts w:eastAsia="宋体"/>
              </w:rPr>
              <w:t>）其它催化剂。主要包括普通金属、碳化物和金属氧化物等。金属</w:t>
            </w:r>
            <w:r>
              <w:rPr>
                <w:rFonts w:eastAsia="宋体"/>
              </w:rPr>
              <w:t>Ni</w:t>
            </w:r>
            <w:r>
              <w:rPr>
                <w:rFonts w:eastAsia="宋体"/>
              </w:rPr>
              <w:t>负载型催化剂具有较好的活性，在固体酸的协同作用下，邻甲氧基苯酚可转化为环己烷，</w:t>
            </w:r>
            <w:r>
              <w:rPr>
                <w:rFonts w:eastAsia="宋体"/>
              </w:rPr>
              <w:t>500</w:t>
            </w:r>
            <w:r>
              <w:rPr>
                <w:rFonts w:ascii="宋体" w:eastAsia="宋体" w:hAnsi="宋体" w:cs="宋体" w:hint="eastAsia"/>
              </w:rPr>
              <w:t>℃</w:t>
            </w:r>
            <w:r>
              <w:rPr>
                <w:rFonts w:eastAsia="宋体"/>
              </w:rPr>
              <w:t>下原料的转化率为</w:t>
            </w:r>
            <w:r>
              <w:rPr>
                <w:rFonts w:eastAsia="宋体"/>
              </w:rPr>
              <w:t>100%</w:t>
            </w:r>
            <w:r>
              <w:rPr>
                <w:rFonts w:eastAsia="宋体"/>
              </w:rPr>
              <w:t>，环己烷的选择性为</w:t>
            </w:r>
            <w:r>
              <w:rPr>
                <w:rFonts w:eastAsia="宋体"/>
              </w:rPr>
              <w:t>96.8%</w:t>
            </w:r>
            <w:r w:rsidR="00961785">
              <w:rPr>
                <w:rFonts w:eastAsia="宋体"/>
              </w:rPr>
              <w:fldChar w:fldCharType="begin"/>
            </w:r>
            <w:r>
              <w:rPr>
                <w:rFonts w:eastAsia="宋体"/>
              </w:rPr>
              <w:instrText xml:space="preserve"> ADDIN EN.CITE &lt;EndNote&gt;&lt;Cite&gt;&lt;Author&gt;Zhang&lt;/Author&gt;&lt;Year&gt;2014&lt;/Year&gt;&lt;RecNum&gt;164&lt;/RecNum&gt;&lt;DisplayText&gt;[17]&lt;/DisplayText&gt;&lt;record&gt;&lt;rec-number&gt;164&lt;/rec-number&gt;&lt;foreign-keys&gt;&lt;key app="EN" db-id="rd2zv2rpndvzpne9ptav2e5q52wasx0paffp"&gt;164&lt;/key&gt;&lt;/foreign-keys&gt;&lt;ref-type name="Journal Article"&gt;17&lt;/ref-type&gt;&lt;contributors&gt;&lt;authors&gt;&lt;author&gt;Zhang, Xinghua&lt;/author&gt;&lt;author&gt;Zhang, Qi&lt;/author&gt;&lt;author&gt;Chen, Lungang&lt;/author&gt;&lt;author&gt;Xu, Ying&lt;/author&gt;&lt;author&gt;Wang, Tiejun&lt;/author&gt;&lt;author&gt;Ma, Longlong&lt;/author&gt;&lt;/authors&gt;&lt;/contributors&gt;&lt;titles&gt;&lt;title&gt;Effect of calcination temperature of Ni/SiO 2 -ZrO 2 catalyst on its hydrodeoxygenation of guaiacol&lt;/title&gt;&lt;secondary-title&gt;Chinese Journal of Catalysis&lt;/secondary-title&gt;&lt;/titles&gt;&lt;periodical&gt;&lt;full-title&gt;Chinese Journal of Catalysis&lt;/full-title&gt;&lt;/periodical&gt;&lt;pages&gt;302-309&lt;/pages&gt;&lt;volume&gt;35&lt;/volume&gt;&lt;number&gt;3&lt;/number&gt;&lt;keywords&gt;&lt;keyword&gt;Nickel&lt;/keyword&gt;&lt;keyword&gt;Silica&lt;/keyword&gt;&lt;keyword&gt;Zirconia&lt;/keyword&gt;&lt;keyword&gt;Calcination temperature&lt;/keyword&gt;&lt;keyword&gt;Guaiacol&lt;/keyword&gt;&lt;keyword&gt;Hydrodeoxygenation&lt;/keyword&gt;&lt;keyword&gt;Cyclohexane&lt;/keyword&gt;&lt;/keywords&gt;&lt;dates&gt;&lt;year&gt;2014&lt;/year&gt;&lt;/dates&gt;&lt;urls&gt;&lt;/urls&gt;&lt;/record&gt;&lt;/Cite&gt;&lt;/EndNote&gt;</w:instrText>
            </w:r>
            <w:r w:rsidR="00961785">
              <w:rPr>
                <w:rFonts w:eastAsia="宋体"/>
              </w:rPr>
              <w:fldChar w:fldCharType="separate"/>
            </w:r>
            <w:r>
              <w:rPr>
                <w:rFonts w:eastAsia="宋体"/>
              </w:rPr>
              <w:t>[17]</w:t>
            </w:r>
            <w:r w:rsidR="00961785">
              <w:rPr>
                <w:rFonts w:eastAsia="宋体"/>
              </w:rPr>
              <w:fldChar w:fldCharType="end"/>
            </w:r>
            <w:r>
              <w:rPr>
                <w:rFonts w:eastAsia="宋体"/>
              </w:rPr>
              <w:t>；</w:t>
            </w:r>
            <w:r>
              <w:rPr>
                <w:rFonts w:eastAsia="宋体"/>
              </w:rPr>
              <w:t>Ni</w:t>
            </w:r>
            <w:r>
              <w:rPr>
                <w:rFonts w:eastAsia="宋体"/>
              </w:rPr>
              <w:t>催化剂中加入</w:t>
            </w:r>
            <w:r>
              <w:rPr>
                <w:rFonts w:eastAsia="宋体"/>
              </w:rPr>
              <w:t>Fe</w:t>
            </w:r>
            <w:r>
              <w:rPr>
                <w:rFonts w:eastAsia="宋体"/>
              </w:rPr>
              <w:t>可以提高直接脱氧活性，在催化间甲基苯酚的</w:t>
            </w:r>
            <w:r>
              <w:rPr>
                <w:rFonts w:eastAsia="宋体"/>
              </w:rPr>
              <w:t>HDO</w:t>
            </w:r>
            <w:r>
              <w:rPr>
                <w:rFonts w:eastAsia="宋体"/>
              </w:rPr>
              <w:t>反应中，甲苯的选择性由</w:t>
            </w:r>
            <w:r>
              <w:rPr>
                <w:rFonts w:eastAsia="宋体"/>
              </w:rPr>
              <w:t>14.2%</w:t>
            </w:r>
            <w:r>
              <w:rPr>
                <w:rFonts w:eastAsia="宋体"/>
              </w:rPr>
              <w:t>增加至</w:t>
            </w:r>
            <w:r>
              <w:rPr>
                <w:rFonts w:eastAsia="宋体"/>
              </w:rPr>
              <w:t>52.6%</w:t>
            </w:r>
            <w:r w:rsidR="00961785">
              <w:rPr>
                <w:rFonts w:eastAsia="宋体"/>
              </w:rPr>
              <w:fldChar w:fldCharType="begin"/>
            </w:r>
            <w:r>
              <w:rPr>
                <w:rFonts w:eastAsia="宋体"/>
              </w:rPr>
              <w:instrText xml:space="preserve"> ADDIN EN.CITE &lt;EndNote&gt;&lt;Cite&gt;&lt;Author&gt;Nie&lt;/Author&gt;&lt;Year&gt;2014&lt;/Year&gt;&lt;RecNum&gt;165&lt;/RecNum&gt;&lt;DisplayText&gt;[18]&lt;/DisplayText&gt;&lt;record&gt;&lt;rec-number&gt;165&lt;/rec-number&gt;&lt;foreign-keys&gt;&lt;key app="EN" db-id="rd2zv2rpndvzpne9ptav2e5q52wasx0paffp"&gt;165&lt;/key&gt;&lt;/foreign-keys&gt;&lt;ref-type name="Journal Article"&gt;17&lt;/ref-type&gt;&lt;contributors&gt;&lt;authors&gt;&lt;author&gt;Lei Nie&lt;/author&gt;&lt;author&gt;Priscilla M. de Souza&lt;/author&gt;&lt;author&gt;Fabio B. Noronha&lt;/author&gt;&lt;author&gt;Wei An&lt;/author&gt;&lt;author&gt;Tawan Sooknoi&lt;/author&gt;&lt;author&gt;Daniel E. Resasco&lt;/author&gt;&lt;/authors&gt;&lt;/contributors&gt;&lt;titles&gt;&lt;title&gt;Selective conversion of m-cresol to toluene over bimetallic Ni–Fe catalysts&lt;/title&gt;&lt;secondary-title&gt;Journal of Molecular Catalysis. A, Chemical&lt;/secondary-title&gt;&lt;/titles&gt;&lt;periodical&gt;&lt;full-title&gt;Journal of Molecular Catalysis. A, Chemical&lt;/full-title&gt;&lt;/periodical&gt;&lt;pages&gt;47-55&lt;/pages&gt;&lt;volume&gt;388-389&lt;/volume&gt;&lt;keywords&gt;&lt;keyword&gt;Ni–Fe/SiO2&lt;/keyword&gt;&lt;keyword&gt;Hydrodeoxygenation&lt;/keyword&gt;&lt;keyword&gt;Cresol&lt;/keyword&gt;&lt;keyword&gt;Biomass&lt;/keyword&gt;&lt;keyword&gt;Tautomerization&lt;/keyword&gt;&lt;/keywords&gt;&lt;dates&gt;&lt;year&gt;2014&lt;/year&gt;&lt;/dates&gt;&lt;urls&gt;&lt;/urls&gt;&lt;/record&gt;&lt;/Cite&gt;&lt;/EndNote&gt;</w:instrText>
            </w:r>
            <w:r w:rsidR="00961785">
              <w:rPr>
                <w:rFonts w:eastAsia="宋体"/>
              </w:rPr>
              <w:fldChar w:fldCharType="separate"/>
            </w:r>
            <w:r>
              <w:rPr>
                <w:rFonts w:eastAsia="宋体"/>
              </w:rPr>
              <w:t>[18]</w:t>
            </w:r>
            <w:r w:rsidR="00961785">
              <w:rPr>
                <w:rFonts w:eastAsia="宋体"/>
              </w:rPr>
              <w:fldChar w:fldCharType="end"/>
            </w:r>
            <w:r>
              <w:rPr>
                <w:rFonts w:eastAsia="宋体"/>
              </w:rPr>
              <w:t>；</w:t>
            </w:r>
            <w:r>
              <w:rPr>
                <w:rFonts w:eastAsia="宋体"/>
              </w:rPr>
              <w:t>Ni</w:t>
            </w:r>
            <w:r>
              <w:rPr>
                <w:rFonts w:eastAsia="宋体"/>
              </w:rPr>
              <w:t>颗粒的大小也影响催化剂活性和选择性，大颗粒的加氢活性强，减少颗颗粒尺寸，苯酚转化率下降，环己烷产率增加</w:t>
            </w:r>
            <w:r w:rsidR="00961785">
              <w:rPr>
                <w:rFonts w:eastAsia="宋体"/>
              </w:rPr>
              <w:fldChar w:fldCharType="begin"/>
            </w:r>
            <w:r>
              <w:rPr>
                <w:rFonts w:eastAsia="宋体"/>
              </w:rPr>
              <w:instrText xml:space="preserve"> ADDIN EN.CITE &lt;EndNote&gt;&lt;Cite&gt;&lt;Author&gt;Mortensen&lt;/Author&gt;&lt;Year&gt;2016&lt;/Year&gt;&lt;RecNum&gt;166&lt;/RecNum&gt;&lt;DisplayText&gt;[19]&lt;/DisplayText&gt;&lt;record&gt;&lt;rec-number&gt;166&lt;/rec-number&gt;&lt;foreign-keys&gt;&lt;key app="EN" db-id="rd2zv2rpndvzpne9ptav2e5q52wasx0paffp"&gt;166&lt;/key&gt;&lt;/foreign-keys&gt;&lt;ref-type name="Journal Article"&gt;17&lt;/ref-type&gt;&lt;contributors&gt;&lt;authors&gt;&lt;author&gt;Mortensen, Peter M.&lt;/author&gt;&lt;author&gt;Grunwaldt, Jan Dierk&lt;/author&gt;&lt;author&gt;Jensen, Peter A.&lt;/author&gt;&lt;author&gt;Jensen, Anker D.&lt;/author&gt;&lt;/authors&gt;&lt;/contributors&gt;&lt;titles&gt;&lt;title&gt;Influence on nickel particle size on the hydrodeoxygenation of phenol over Ni/SiO 2&lt;/title&gt;&lt;secondary-title&gt;Catalysis Today&lt;/secondary-title&gt;&lt;/titles&gt;&lt;periodical&gt;&lt;full-title&gt;Catalysis Today&lt;/full-title&gt;&lt;/periodical&gt;&lt;pages&gt;277-284&lt;/pages&gt;&lt;volume&gt;259&lt;/volume&gt;&lt;keywords&gt;&lt;keyword&gt;Bio-oil&lt;/keyword&gt;&lt;keyword&gt;Heterogeneous catalysis&lt;/keyword&gt;&lt;keyword&gt;Hydrodeoxygenation (HDO&lt;/keyword&gt;&lt;keyword&gt;Kinetics&lt;/keyword&gt;&lt;keyword&gt;Phenol&lt;/keyword&gt;&lt;keyword&gt;Structure Sensitivity&lt;/keyword&gt;&lt;/keywords&gt;&lt;dates&gt;&lt;year&gt;2016&lt;/year&gt;&lt;/dates&gt;&lt;urls&gt;&lt;/urls&gt;&lt;/record&gt;&lt;/Cite&gt;&lt;/EndNote&gt;</w:instrText>
            </w:r>
            <w:r w:rsidR="00961785">
              <w:rPr>
                <w:rFonts w:eastAsia="宋体"/>
              </w:rPr>
              <w:fldChar w:fldCharType="separate"/>
            </w:r>
            <w:r>
              <w:rPr>
                <w:rFonts w:eastAsia="宋体"/>
              </w:rPr>
              <w:t>[19]</w:t>
            </w:r>
            <w:r w:rsidR="00961785">
              <w:rPr>
                <w:rFonts w:eastAsia="宋体"/>
              </w:rPr>
              <w:fldChar w:fldCharType="end"/>
            </w:r>
            <w:r>
              <w:rPr>
                <w:rFonts w:eastAsia="宋体"/>
              </w:rPr>
              <w:t>。碳化物催化剂也被用于</w:t>
            </w:r>
            <w:r>
              <w:rPr>
                <w:rFonts w:eastAsia="宋体"/>
              </w:rPr>
              <w:t>HDO</w:t>
            </w:r>
            <w:r>
              <w:rPr>
                <w:rFonts w:eastAsia="宋体"/>
              </w:rPr>
              <w:t>反应中，如在</w:t>
            </w:r>
            <w:r>
              <w:rPr>
                <w:rFonts w:eastAsia="宋体"/>
              </w:rPr>
              <w:t>320</w:t>
            </w:r>
            <w:r>
              <w:rPr>
                <w:rFonts w:ascii="宋体" w:eastAsia="宋体" w:hAnsi="宋体" w:cs="宋体" w:hint="eastAsia"/>
              </w:rPr>
              <w:t>℃</w:t>
            </w:r>
            <w:r>
              <w:rPr>
                <w:rFonts w:eastAsia="宋体"/>
              </w:rPr>
              <w:t>以上</w:t>
            </w:r>
            <w:r>
              <w:rPr>
                <w:rFonts w:eastAsia="宋体"/>
              </w:rPr>
              <w:t>Mo</w:t>
            </w:r>
            <w:r>
              <w:rPr>
                <w:rFonts w:eastAsia="宋体"/>
                <w:vertAlign w:val="subscript"/>
              </w:rPr>
              <w:t>2</w:t>
            </w:r>
            <w:r>
              <w:rPr>
                <w:rFonts w:eastAsia="宋体"/>
              </w:rPr>
              <w:t>C/ZrO</w:t>
            </w:r>
            <w:r>
              <w:rPr>
                <w:rFonts w:eastAsia="宋体"/>
                <w:vertAlign w:val="subscript"/>
              </w:rPr>
              <w:t>2</w:t>
            </w:r>
            <w:r>
              <w:rPr>
                <w:rFonts w:eastAsia="宋体"/>
              </w:rPr>
              <w:t>可催化苯酚转化为苯，但反应一段时间后或有水存在的情况下，催化剂的活性明显下降，主要是因为热稳定性较差，</w:t>
            </w:r>
            <w:r>
              <w:rPr>
                <w:rFonts w:eastAsia="宋体"/>
              </w:rPr>
              <w:t>Mo</w:t>
            </w:r>
            <w:r>
              <w:rPr>
                <w:rFonts w:eastAsia="宋体"/>
                <w:vertAlign w:val="subscript"/>
              </w:rPr>
              <w:t>2</w:t>
            </w:r>
            <w:r>
              <w:rPr>
                <w:rFonts w:eastAsia="宋体"/>
              </w:rPr>
              <w:t>C</w:t>
            </w:r>
            <w:r>
              <w:rPr>
                <w:rFonts w:eastAsia="宋体"/>
              </w:rPr>
              <w:t>转化为</w:t>
            </w:r>
            <w:r>
              <w:rPr>
                <w:rFonts w:eastAsia="宋体"/>
              </w:rPr>
              <w:t>MoO</w:t>
            </w:r>
            <w:r>
              <w:rPr>
                <w:rFonts w:eastAsia="宋体"/>
                <w:vertAlign w:val="subscript"/>
              </w:rPr>
              <w:t>2</w:t>
            </w:r>
            <w:r w:rsidR="00961785">
              <w:rPr>
                <w:rFonts w:eastAsia="宋体"/>
              </w:rPr>
              <w:fldChar w:fldCharType="begin"/>
            </w:r>
            <w:r>
              <w:rPr>
                <w:rFonts w:eastAsia="宋体"/>
              </w:rPr>
              <w:instrText xml:space="preserve"> ADDIN EN.CITE &lt;EndNote&gt;&lt;Cite&gt;&lt;Author&gt;Mortensen&lt;/Author&gt;&lt;Year&gt;2015&lt;/Year&gt;&lt;RecNum&gt;167&lt;/RecNum&gt;&lt;DisplayText&gt;[20]&lt;/DisplayText&gt;&lt;record&gt;&lt;rec-number&gt;167&lt;/rec-number&gt;&lt;foreign-keys&gt;&lt;key app="EN" db-id="rd2zv2rpndvzpne9ptav2e5q52wasx0paffp"&gt;167&lt;/key&gt;&lt;/foreign-keys&gt;&lt;ref-type name="Journal Article"&gt;17&lt;/ref-type&gt;&lt;contributors&gt;&lt;authors&gt;&lt;author&gt;Mortensen, Peter M.&lt;/author&gt;&lt;author&gt;Carvalho, Hudson W. P. De&lt;/author&gt;&lt;author&gt;Grunwaldt, Jan Dierk&lt;/author&gt;&lt;author&gt;Jensen, Peter A.&lt;/author&gt;&lt;author&gt;Jensen, Anker D.&lt;/author&gt;&lt;/authors&gt;&lt;/contributors&gt;&lt;titles&gt;&lt;title&gt;Activity and stability of Mo 2 C/ZrO 2 as catalyst for hydrodeoxygenation of mixtures of phenol and 1-octanol&lt;/title&gt;&lt;secondary-title&gt;Journal of Catalysis&lt;/secondary-title&gt;&lt;/titles&gt;&lt;periodical&gt;&lt;full-title&gt;Journal of Catalysis&lt;/full-title&gt;&lt;/periodical&gt;&lt;pages&gt;208-215&lt;/pages&gt;&lt;volume&gt;328&lt;/volume&gt;&lt;number&gt;4&lt;/number&gt;&lt;keywords&gt;&lt;keyword&gt;Bio-oil&lt;/keyword&gt;&lt;keyword&gt;Carbides&lt;/keyword&gt;&lt;keyword&gt;Deactivation&lt;/keyword&gt;&lt;keyword&gt;Hydrodeoxygenation&lt;/keyword&gt;&lt;keyword&gt;In situ XRD and XAS&lt;/keyword&gt;&lt;keyword&gt;Water&lt;/keyword&gt;&lt;/keywords&gt;&lt;dates&gt;&lt;year&gt;2015&lt;/year&gt;&lt;/dates&gt;&lt;urls&gt;&lt;/urls&gt;&lt;/record&gt;&lt;/Cite&gt;&lt;/EndNote&gt;</w:instrText>
            </w:r>
            <w:r w:rsidR="00961785">
              <w:rPr>
                <w:rFonts w:eastAsia="宋体"/>
              </w:rPr>
              <w:fldChar w:fldCharType="separate"/>
            </w:r>
            <w:r>
              <w:rPr>
                <w:rFonts w:eastAsia="宋体"/>
              </w:rPr>
              <w:t>[20]</w:t>
            </w:r>
            <w:r w:rsidR="00961785">
              <w:rPr>
                <w:rFonts w:eastAsia="宋体"/>
              </w:rPr>
              <w:fldChar w:fldCharType="end"/>
            </w:r>
            <w:r>
              <w:rPr>
                <w:rFonts w:eastAsia="宋体"/>
              </w:rPr>
              <w:t>；而在</w:t>
            </w:r>
            <w:r>
              <w:rPr>
                <w:rFonts w:eastAsia="宋体"/>
              </w:rPr>
              <w:t>340</w:t>
            </w:r>
            <w:r>
              <w:rPr>
                <w:rFonts w:ascii="宋体" w:eastAsia="宋体" w:hAnsi="宋体" w:cs="宋体" w:hint="eastAsia"/>
              </w:rPr>
              <w:t>℃</w:t>
            </w:r>
            <w:r>
              <w:rPr>
                <w:rFonts w:eastAsia="宋体"/>
              </w:rPr>
              <w:t>下</w:t>
            </w:r>
            <w:r>
              <w:rPr>
                <w:rFonts w:eastAsia="宋体"/>
              </w:rPr>
              <w:t>MoC</w:t>
            </w:r>
            <w:r>
              <w:rPr>
                <w:rFonts w:eastAsia="宋体"/>
                <w:vertAlign w:val="subscript"/>
              </w:rPr>
              <w:t>1-</w:t>
            </w:r>
            <w:r>
              <w:rPr>
                <w:rFonts w:eastAsia="宋体"/>
                <w:i/>
                <w:vertAlign w:val="subscript"/>
              </w:rPr>
              <w:t>x</w:t>
            </w:r>
            <w:r>
              <w:rPr>
                <w:rFonts w:eastAsia="宋体"/>
              </w:rPr>
              <w:t>/AC</w:t>
            </w:r>
            <w:r>
              <w:rPr>
                <w:rFonts w:eastAsia="宋体"/>
              </w:rPr>
              <w:t>催化邻甲氧基苯酚</w:t>
            </w:r>
            <w:r>
              <w:rPr>
                <w:rFonts w:eastAsia="宋体"/>
              </w:rPr>
              <w:lastRenderedPageBreak/>
              <w:t>的脱甲氧基反应中，苯酚的选择性达到</w:t>
            </w:r>
            <w:r>
              <w:rPr>
                <w:rFonts w:eastAsia="宋体"/>
              </w:rPr>
              <w:t>85%</w:t>
            </w:r>
            <w:r>
              <w:rPr>
                <w:rFonts w:eastAsia="宋体"/>
              </w:rPr>
              <w:t>，甲氧基的脱除主要是经过先脱甲基然后再脱羟基</w:t>
            </w:r>
            <w:r w:rsidR="00961785">
              <w:rPr>
                <w:rFonts w:eastAsia="宋体"/>
              </w:rPr>
              <w:fldChar w:fldCharType="begin"/>
            </w:r>
            <w:r>
              <w:rPr>
                <w:rFonts w:eastAsia="宋体"/>
              </w:rPr>
              <w:instrText xml:space="preserve"> ADDIN EN.CITE &lt;EndNote&gt;&lt;Cite&gt;&lt;Author&gt;R&lt;/Author&gt;&lt;Year&gt;2015&lt;/Year&gt;&lt;RecNum&gt;168&lt;/RecNum&gt;&lt;DisplayText&gt;[21]&lt;/DisplayText&gt;&lt;record&gt;&lt;rec-number&gt;168&lt;/rec-number&gt;&lt;foreign-keys&gt;&lt;key app="EN" db-id="rd2zv2rpndvzpne9ptav2e5q52wasx0paffp"&gt;168&lt;/key&gt;&lt;/foreign-keys&gt;&lt;ref-type name="Journal Article"&gt;17&lt;/ref-type&gt;&lt;contributors&gt;&lt;authors&gt;&lt;author&gt;Ma R&lt;/author&gt;&lt;author&gt;Cui K&lt;/author&gt;&lt;author&gt;Yang L&lt;/author&gt;&lt;author&gt;Ma X&lt;/author&gt;&lt;author&gt;Li Y&lt;/author&gt;&lt;/authors&gt;&lt;/contributors&gt;&lt;titles&gt;&lt;title&gt;Selective catalytic conversion of guaiacol to phenols over a molybdenum carbide catalyst&lt;/title&gt;&lt;secondary-title&gt;Chemical communications (Cambridge, England)&lt;/secondary-title&gt;&lt;/titles&gt;&lt;periodical&gt;&lt;full-title&gt;Chemical communications (Cambridge, England)&lt;/full-title&gt;&lt;/periodical&gt;&lt;pages&gt;10299&lt;/pages&gt;&lt;volume&gt;51&lt;/volume&gt;&lt;number&gt;51&lt;/number&gt;&lt;dates&gt;&lt;year&gt;2015&lt;/year&gt;&lt;/dates&gt;&lt;urls&gt;&lt;/urls&gt;&lt;/record&gt;&lt;/Cite&gt;&lt;/EndNote&gt;</w:instrText>
            </w:r>
            <w:r w:rsidR="00961785">
              <w:rPr>
                <w:rFonts w:eastAsia="宋体"/>
              </w:rPr>
              <w:fldChar w:fldCharType="separate"/>
            </w:r>
            <w:r>
              <w:rPr>
                <w:rFonts w:eastAsia="宋体"/>
              </w:rPr>
              <w:t>[21]</w:t>
            </w:r>
            <w:r w:rsidR="00961785">
              <w:rPr>
                <w:rFonts w:eastAsia="宋体"/>
              </w:rPr>
              <w:fldChar w:fldCharType="end"/>
            </w:r>
            <w:r>
              <w:rPr>
                <w:rFonts w:eastAsia="宋体"/>
              </w:rPr>
              <w:t>。</w:t>
            </w:r>
            <w:r>
              <w:rPr>
                <w:rFonts w:eastAsia="宋体"/>
              </w:rPr>
              <w:t>Ni</w:t>
            </w:r>
            <w:r>
              <w:rPr>
                <w:rFonts w:eastAsia="宋体"/>
                <w:vertAlign w:val="subscript"/>
              </w:rPr>
              <w:t>2</w:t>
            </w:r>
            <w:r>
              <w:rPr>
                <w:rFonts w:eastAsia="宋体"/>
              </w:rPr>
              <w:t>P</w:t>
            </w:r>
            <w:r>
              <w:rPr>
                <w:rFonts w:eastAsia="宋体"/>
              </w:rPr>
              <w:t>对苯酚的</w:t>
            </w:r>
            <w:r>
              <w:rPr>
                <w:rFonts w:eastAsia="宋体"/>
              </w:rPr>
              <w:t>HDO</w:t>
            </w:r>
            <w:r>
              <w:rPr>
                <w:rFonts w:eastAsia="宋体"/>
              </w:rPr>
              <w:t>反应也有较高的催化活性，在其中加入贵金属如</w:t>
            </w:r>
            <w:r>
              <w:rPr>
                <w:rFonts w:eastAsia="宋体"/>
              </w:rPr>
              <w:t>Pd</w:t>
            </w:r>
            <w:r>
              <w:rPr>
                <w:rFonts w:eastAsia="宋体"/>
              </w:rPr>
              <w:t>后可促进催化剂活性中心的增多和电子转移，从而提高催化剂的</w:t>
            </w:r>
            <w:r>
              <w:rPr>
                <w:rFonts w:eastAsia="宋体"/>
              </w:rPr>
              <w:t>HDO</w:t>
            </w:r>
            <w:r>
              <w:rPr>
                <w:rFonts w:eastAsia="宋体"/>
              </w:rPr>
              <w:t>活性</w:t>
            </w:r>
            <w:r w:rsidR="00961785">
              <w:rPr>
                <w:rFonts w:eastAsia="宋体"/>
              </w:rPr>
              <w:fldChar w:fldCharType="begin"/>
            </w:r>
            <w:r>
              <w:rPr>
                <w:rFonts w:eastAsia="宋体"/>
              </w:rPr>
              <w:instrText xml:space="preserve"> ADDIN EN.CITE &lt;EndNote&gt;&lt;Cite&gt;&lt;Author&gt;Li&lt;/Author&gt;&lt;Year&gt;2015&lt;/Year&gt;&lt;RecNum&gt;169&lt;/RecNum&gt;&lt;DisplayText&gt;[22]&lt;/DisplayText&gt;&lt;record&gt;&lt;rec-number&gt;169&lt;/rec-number&gt;&lt;foreign-keys&gt;&lt;key app="EN" db-id="rd2zv2rpndvzpne9ptav2e5q52wasx0paffp"&gt;169&lt;/key&gt;&lt;/foreign-keys&gt;&lt;ref-type name="Journal Article"&gt;17&lt;/ref-type&gt;&lt;contributors&gt;&lt;authors&gt;&lt;author&gt;Li, Yunhua&lt;/author&gt;&lt;author&gt;Yang, Xin&lt;/author&gt;&lt;author&gt;Zhu, Linhui&lt;/author&gt;&lt;author&gt;Zhang, Hua&lt;/author&gt;&lt;author&gt;Chen, Binghui&lt;/author&gt;&lt;/authors&gt;&lt;/contributors&gt;&lt;titles&gt;&lt;title&gt;Hydrodeoxygenation of phenol as a bio-oil model compound on intimate contact noble metal-Ni2P/SiO2 catalyst&lt;/title&gt;&lt;secondary-title&gt;Rsc Advances&lt;/secondary-title&gt;&lt;/titles&gt;&lt;periodical&gt;&lt;full-title&gt;RSC Advances&lt;/full-title&gt;&lt;/periodical&gt;&lt;pages&gt;80388-80396&lt;/pages&gt;&lt;volume&gt;5&lt;/volume&gt;&lt;number&gt;98&lt;/number&gt;&lt;dates&gt;&lt;year&gt;2015&lt;/year&gt;&lt;/dates&gt;&lt;urls&gt;&lt;/urls&gt;&lt;/record&gt;&lt;/Cite&gt;&lt;/EndNote&gt;</w:instrText>
            </w:r>
            <w:r w:rsidR="00961785">
              <w:rPr>
                <w:rFonts w:eastAsia="宋体"/>
              </w:rPr>
              <w:fldChar w:fldCharType="separate"/>
            </w:r>
            <w:r>
              <w:rPr>
                <w:rFonts w:eastAsia="宋体"/>
              </w:rPr>
              <w:t>[22]</w:t>
            </w:r>
            <w:r w:rsidR="00961785">
              <w:rPr>
                <w:rFonts w:eastAsia="宋体"/>
              </w:rPr>
              <w:fldChar w:fldCharType="end"/>
            </w:r>
            <w:r>
              <w:rPr>
                <w:rFonts w:eastAsia="宋体"/>
              </w:rPr>
              <w:t>。一些过渡金属氧化物中有一些氧缺位，可吸附含氧化合物，若还能将氢气解离，为反应提供自由氢，则该氧化物就可用于</w:t>
            </w:r>
            <w:r>
              <w:rPr>
                <w:rFonts w:eastAsia="宋体"/>
              </w:rPr>
              <w:t>HDO</w:t>
            </w:r>
            <w:r>
              <w:rPr>
                <w:rFonts w:eastAsia="宋体"/>
              </w:rPr>
              <w:t>反应中，如</w:t>
            </w:r>
            <w:r>
              <w:rPr>
                <w:rFonts w:eastAsia="宋体"/>
              </w:rPr>
              <w:t xml:space="preserve">C. Sievers </w:t>
            </w:r>
            <w:r>
              <w:rPr>
                <w:rFonts w:eastAsia="宋体"/>
              </w:rPr>
              <w:t>等</w:t>
            </w:r>
            <w:r w:rsidR="00961785">
              <w:rPr>
                <w:rFonts w:eastAsia="宋体"/>
              </w:rPr>
              <w:fldChar w:fldCharType="begin"/>
            </w:r>
            <w:r>
              <w:rPr>
                <w:rFonts w:eastAsia="宋体"/>
              </w:rPr>
              <w:instrText xml:space="preserve"> ADDIN EN.CITE &lt;EndNote&gt;&lt;Cite&gt;&lt;Author&gt;SM&lt;/Author&gt;&lt;Year&gt;2015&lt;/Year&gt;&lt;RecNum&gt;170&lt;/RecNum&gt;&lt;DisplayText&gt;[23]&lt;/DisplayText&gt;&lt;record&gt;&lt;rec-number&gt;170&lt;/rec-number&gt;&lt;foreign-keys&gt;&lt;key app="EN" db-id="rd2zv2rpndvzpne9ptav2e5q52wasx0paffp"&gt;170&lt;/key&gt;&lt;/foreign-keys&gt;&lt;ref-type name="Journal Article"&gt;17&lt;/ref-type&gt;&lt;contributors&gt;&lt;authors&gt;&lt;author&gt;Schimming SM&lt;/author&gt;&lt;author&gt;LaMont OD&lt;/author&gt;&lt;author&gt;König M&lt;/author&gt;&lt;author&gt;Rogers AK&lt;/author&gt;&lt;author&gt;D&amp;apos;Amico AD&lt;/author&gt;&lt;author&gt;Yung MM&lt;/author&gt;&lt;author&gt;Sievers C&lt;/author&gt;&lt;/authors&gt;&lt;/contributors&gt;&lt;titles&gt;&lt;title&gt;Hydrodeoxygenation of Guaiacol over Ceria-Zirconia Catalysts&lt;/title&gt;&lt;secondary-title&gt;ChemSusChem&lt;/secondary-title&gt;&lt;/titles&gt;&lt;periodical&gt;&lt;full-title&gt;ChemSusChem&lt;/full-title&gt;&lt;abbr-1&gt;ChemSusChem&lt;/abbr-1&gt;&lt;/periodical&gt;&lt;pages&gt;2073&lt;/pages&gt;&lt;volume&gt;8&lt;/volume&gt;&lt;number&gt;12&lt;/number&gt;&lt;keywords&gt;&lt;keyword&gt;arenes&lt;/keyword&gt;&lt;keyword&gt;bio</w:instrText>
            </w:r>
            <w:r>
              <w:rPr>
                <w:rFonts w:ascii="宋体" w:eastAsia="宋体" w:hAnsi="宋体" w:cs="宋体" w:hint="eastAsia"/>
              </w:rPr>
              <w:instrText>‐</w:instrText>
            </w:r>
            <w:r>
              <w:rPr>
                <w:rFonts w:eastAsia="宋体"/>
              </w:rPr>
              <w:instrText>oil&lt;/keyword&gt;&lt;keyword&gt;heterogeneous catalysis&lt;/keyword&gt;&lt;keyword&gt;hydrodeoxygenation&lt;/keyword&gt;&lt;keyword&gt;oxygen vacancies&lt;/keyword&gt;&lt;/keywords&gt;&lt;dates&gt;&lt;year&gt;2015&lt;/year&gt;&lt;/dates&gt;&lt;urls&gt;&lt;/urls&gt;&lt;/record&gt;&lt;/Cite&gt;&lt;/EndNote&gt;</w:instrText>
            </w:r>
            <w:r w:rsidR="00961785">
              <w:rPr>
                <w:rFonts w:eastAsia="宋体"/>
              </w:rPr>
              <w:fldChar w:fldCharType="separate"/>
            </w:r>
            <w:r>
              <w:rPr>
                <w:rFonts w:eastAsia="宋体"/>
              </w:rPr>
              <w:t>[23]</w:t>
            </w:r>
            <w:r w:rsidR="00961785">
              <w:rPr>
                <w:rFonts w:eastAsia="宋体"/>
              </w:rPr>
              <w:fldChar w:fldCharType="end"/>
            </w:r>
            <w:r>
              <w:rPr>
                <w:rFonts w:eastAsia="宋体"/>
              </w:rPr>
              <w:t>研究了邻甲氧基苯酚在</w:t>
            </w:r>
            <w:r>
              <w:rPr>
                <w:rFonts w:eastAsia="宋体"/>
              </w:rPr>
              <w:t>CeO</w:t>
            </w:r>
            <w:r>
              <w:rPr>
                <w:rFonts w:eastAsia="宋体"/>
                <w:vertAlign w:val="subscript"/>
              </w:rPr>
              <w:t>2</w:t>
            </w:r>
            <w:r>
              <w:rPr>
                <w:rFonts w:eastAsia="宋体"/>
              </w:rPr>
              <w:t>–ZrO</w:t>
            </w:r>
            <w:r>
              <w:rPr>
                <w:rFonts w:eastAsia="宋体"/>
                <w:vertAlign w:val="subscript"/>
              </w:rPr>
              <w:t>2</w:t>
            </w:r>
            <w:r>
              <w:rPr>
                <w:rFonts w:eastAsia="宋体"/>
              </w:rPr>
              <w:t>上的</w:t>
            </w:r>
            <w:r>
              <w:rPr>
                <w:rFonts w:eastAsia="宋体"/>
              </w:rPr>
              <w:t>HDO</w:t>
            </w:r>
            <w:r>
              <w:rPr>
                <w:rFonts w:eastAsia="宋体"/>
              </w:rPr>
              <w:t>反应，原料转化率较低，苯酚和苯二酚为主要产物，但催化剂稳定性较好。</w:t>
            </w:r>
          </w:p>
          <w:p w:rsidR="00961785" w:rsidRDefault="00056610">
            <w:pPr>
              <w:pStyle w:val="duanluo"/>
              <w:ind w:leftChars="50" w:left="105" w:rightChars="50" w:right="105" w:firstLineChars="0" w:firstLine="0"/>
              <w:jc w:val="center"/>
              <w:rPr>
                <w:rFonts w:eastAsia="宋体"/>
              </w:rPr>
            </w:pPr>
            <w:r>
              <w:rPr>
                <w:rFonts w:eastAsia="宋体"/>
                <w:noProof/>
              </w:rPr>
              <w:drawing>
                <wp:inline distT="0" distB="0" distL="0" distR="0">
                  <wp:extent cx="1348105" cy="1151890"/>
                  <wp:effectExtent l="0" t="0" r="4445" b="0"/>
                  <wp:docPr id="1026"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pic:nvPicPr>
                        <pic:blipFill>
                          <a:blip r:embed="rId8" cstate="print"/>
                          <a:srcRect/>
                          <a:stretch/>
                        </pic:blipFill>
                        <pic:spPr>
                          <a:xfrm>
                            <a:off x="0" y="0"/>
                            <a:ext cx="1348105" cy="1151890"/>
                          </a:xfrm>
                          <a:prstGeom prst="rect">
                            <a:avLst/>
                          </a:prstGeom>
                        </pic:spPr>
                      </pic:pic>
                    </a:graphicData>
                  </a:graphic>
                </wp:inline>
              </w:drawing>
            </w:r>
            <w:r>
              <w:rPr>
                <w:rFonts w:eastAsia="宋体"/>
              </w:rPr>
              <w:t xml:space="preserve">  </w:t>
            </w:r>
            <w:r>
              <w:rPr>
                <w:rFonts w:eastAsia="宋体"/>
                <w:noProof/>
              </w:rPr>
              <w:drawing>
                <wp:inline distT="0" distB="0" distL="0" distR="0">
                  <wp:extent cx="1821178" cy="1440180"/>
                  <wp:effectExtent l="0" t="0" r="7620" b="7620"/>
                  <wp:docPr id="1027"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9" cstate="print"/>
                          <a:srcRect l="74394" b="58132"/>
                          <a:stretch/>
                        </pic:blipFill>
                        <pic:spPr>
                          <a:xfrm>
                            <a:off x="0" y="0"/>
                            <a:ext cx="1821178" cy="1440180"/>
                          </a:xfrm>
                          <a:prstGeom prst="rect">
                            <a:avLst/>
                          </a:prstGeom>
                          <a:ln>
                            <a:noFill/>
                          </a:ln>
                        </pic:spPr>
                      </pic:pic>
                    </a:graphicData>
                  </a:graphic>
                </wp:inline>
              </w:drawing>
            </w:r>
            <w:r>
              <w:rPr>
                <w:rFonts w:eastAsia="宋体"/>
                <w:noProof/>
              </w:rPr>
              <w:drawing>
                <wp:inline distT="0" distB="0" distL="0" distR="0">
                  <wp:extent cx="1839595" cy="1439545"/>
                  <wp:effectExtent l="0" t="0" r="8255" b="8255"/>
                  <wp:docPr id="1028"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3"/>
                          <pic:cNvPicPr/>
                        </pic:nvPicPr>
                        <pic:blipFill>
                          <a:blip r:embed="rId10" cstate="print"/>
                          <a:srcRect t="58333" r="62273"/>
                          <a:stretch/>
                        </pic:blipFill>
                        <pic:spPr>
                          <a:xfrm>
                            <a:off x="0" y="0"/>
                            <a:ext cx="1839595" cy="1439545"/>
                          </a:xfrm>
                          <a:prstGeom prst="rect">
                            <a:avLst/>
                          </a:prstGeom>
                          <a:ln>
                            <a:noFill/>
                          </a:ln>
                        </pic:spPr>
                      </pic:pic>
                    </a:graphicData>
                  </a:graphic>
                </wp:inline>
              </w:drawing>
            </w:r>
          </w:p>
          <w:p w:rsidR="00961785" w:rsidRDefault="00056610">
            <w:pPr>
              <w:pStyle w:val="duanluo"/>
              <w:ind w:leftChars="50" w:left="105" w:rightChars="50" w:right="105" w:firstLineChars="0" w:firstLine="0"/>
              <w:jc w:val="center"/>
              <w:rPr>
                <w:rFonts w:eastAsia="宋体"/>
              </w:rPr>
            </w:pPr>
            <w:r>
              <w:rPr>
                <w:rFonts w:eastAsia="宋体"/>
              </w:rPr>
              <w:t>图</w:t>
            </w:r>
            <w:r>
              <w:rPr>
                <w:rFonts w:eastAsia="宋体"/>
              </w:rPr>
              <w:t>1 MoS</w:t>
            </w:r>
            <w:r>
              <w:rPr>
                <w:rFonts w:eastAsia="宋体"/>
                <w:vertAlign w:val="subscript"/>
              </w:rPr>
              <w:t>2</w:t>
            </w:r>
            <w:r>
              <w:rPr>
                <w:rFonts w:eastAsia="宋体"/>
              </w:rPr>
              <w:t>的活性位点和毛虫状</w:t>
            </w:r>
            <w:r>
              <w:rPr>
                <w:rFonts w:eastAsia="宋体"/>
              </w:rPr>
              <w:t>MoS</w:t>
            </w:r>
            <w:r>
              <w:rPr>
                <w:rFonts w:eastAsia="宋体"/>
                <w:vertAlign w:val="subscript"/>
              </w:rPr>
              <w:t>2</w:t>
            </w:r>
            <w:r>
              <w:rPr>
                <w:rFonts w:eastAsia="宋体"/>
              </w:rPr>
              <w:t>的</w:t>
            </w:r>
            <w:r>
              <w:rPr>
                <w:rFonts w:eastAsia="宋体"/>
              </w:rPr>
              <w:t>SEM</w:t>
            </w:r>
            <w:r>
              <w:rPr>
                <w:rFonts w:eastAsia="宋体"/>
              </w:rPr>
              <w:t>与</w:t>
            </w:r>
            <w:r>
              <w:rPr>
                <w:rFonts w:eastAsia="宋体"/>
              </w:rPr>
              <w:t>TEM</w:t>
            </w:r>
            <w:r>
              <w:rPr>
                <w:rFonts w:eastAsia="宋体"/>
              </w:rPr>
              <w:t>图</w:t>
            </w:r>
          </w:p>
          <w:p w:rsidR="00961785" w:rsidRDefault="00056610" w:rsidP="00922885">
            <w:pPr>
              <w:snapToGrid w:val="0"/>
              <w:spacing w:beforeLines="50" w:before="156" w:afterLines="50" w:after="156" w:line="336" w:lineRule="auto"/>
              <w:ind w:firstLineChars="200" w:firstLine="480"/>
              <w:rPr>
                <w:sz w:val="24"/>
                <w:szCs w:val="24"/>
              </w:rPr>
            </w:pPr>
            <w:r>
              <w:rPr>
                <w:sz w:val="24"/>
                <w:szCs w:val="24"/>
              </w:rPr>
              <w:t>以上催化剂中，贵金属、非晶态硼化物和</w:t>
            </w:r>
            <w:r>
              <w:rPr>
                <w:sz w:val="24"/>
                <w:szCs w:val="24"/>
              </w:rPr>
              <w:t>Ni</w:t>
            </w:r>
            <w:r>
              <w:rPr>
                <w:sz w:val="24"/>
                <w:szCs w:val="24"/>
              </w:rPr>
              <w:t>基催化剂的加氢活性较强，在催化酚类化合物完全脱氧时，产物中环烷烃的选择性很高，氢气：原料的摩尔比达到</w:t>
            </w:r>
            <w:r>
              <w:rPr>
                <w:sz w:val="24"/>
                <w:szCs w:val="24"/>
              </w:rPr>
              <w:t>4:1</w:t>
            </w:r>
            <w:r>
              <w:rPr>
                <w:sz w:val="24"/>
                <w:szCs w:val="24"/>
              </w:rPr>
              <w:t>，氢气消耗量较大，产品辛烷值下降，且催化剂还存在成本高、易失活等不足。其他金属如</w:t>
            </w:r>
            <w:r>
              <w:rPr>
                <w:sz w:val="24"/>
                <w:szCs w:val="24"/>
              </w:rPr>
              <w:t>Fe</w:t>
            </w:r>
            <w:r>
              <w:rPr>
                <w:sz w:val="24"/>
                <w:szCs w:val="24"/>
              </w:rPr>
              <w:t>催化剂和碳化物具有很好的直接脱氧活性，通过加入加氢活性较强的助剂可增强其催化活性，但总的</w:t>
            </w:r>
            <w:r>
              <w:rPr>
                <w:sz w:val="24"/>
                <w:szCs w:val="24"/>
              </w:rPr>
              <w:t>HDO</w:t>
            </w:r>
            <w:r>
              <w:rPr>
                <w:sz w:val="24"/>
                <w:szCs w:val="24"/>
              </w:rPr>
              <w:t>活性低，在</w:t>
            </w:r>
            <w:r>
              <w:rPr>
                <w:sz w:val="24"/>
                <w:szCs w:val="24"/>
              </w:rPr>
              <w:t>250</w:t>
            </w:r>
            <w:r>
              <w:rPr>
                <w:rFonts w:ascii="宋体" w:hAnsi="宋体" w:cs="宋体" w:hint="eastAsia"/>
                <w:sz w:val="24"/>
                <w:szCs w:val="24"/>
              </w:rPr>
              <w:t>℃</w:t>
            </w:r>
            <w:r>
              <w:rPr>
                <w:sz w:val="24"/>
                <w:szCs w:val="24"/>
              </w:rPr>
              <w:t>以下，原料的脱氧率都较低，升高反应温度可提高脱氧率，而高温下反应，能源消耗大，降低工艺的经济性，而且由于</w:t>
            </w:r>
            <w:r>
              <w:rPr>
                <w:sz w:val="24"/>
                <w:szCs w:val="24"/>
              </w:rPr>
              <w:t>HDO</w:t>
            </w:r>
            <w:r>
              <w:rPr>
                <w:sz w:val="24"/>
                <w:szCs w:val="24"/>
              </w:rPr>
              <w:t>反应生成水会氧化金属</w:t>
            </w:r>
            <w:r>
              <w:rPr>
                <w:sz w:val="24"/>
                <w:szCs w:val="24"/>
              </w:rPr>
              <w:t>Fe</w:t>
            </w:r>
            <w:r>
              <w:rPr>
                <w:sz w:val="24"/>
                <w:szCs w:val="24"/>
              </w:rPr>
              <w:t>或使碳化物转变成氧化物，致使催化剂活性逐渐降低。二硫化钼催化剂具有成本低、原料易得、催化活性高、产物选择性好的特点，是一种良好的加氢脱氧催化剂。目前被广泛认可二硫化钼催化机理为</w:t>
            </w:r>
            <w:r>
              <w:rPr>
                <w:sz w:val="24"/>
                <w:szCs w:val="24"/>
              </w:rPr>
              <w:t>Rim-Edge</w:t>
            </w:r>
            <w:r>
              <w:rPr>
                <w:sz w:val="24"/>
                <w:szCs w:val="24"/>
              </w:rPr>
              <w:t>模型</w:t>
            </w:r>
            <w:r w:rsidR="00961785">
              <w:rPr>
                <w:sz w:val="24"/>
                <w:szCs w:val="24"/>
              </w:rPr>
              <w:fldChar w:fldCharType="begin"/>
            </w:r>
            <w:r>
              <w:rPr>
                <w:sz w:val="24"/>
                <w:szCs w:val="24"/>
              </w:rPr>
              <w:instrText xml:space="preserve"> ADDIN EN.CITE &lt;EndNote&gt;&lt;Cite&gt;&lt;Author&gt;Daage&lt;/Author&gt;&lt;Year&gt;1994&lt;/Year&gt;&lt;RecNum&gt;171&lt;/RecNum&gt;&lt;DisplayText&gt;[24]&lt;/DisplayText&gt;&lt;record&gt;&lt;rec-number&gt;171&lt;/rec-number&gt;&lt;foreign-keys&gt;&lt;key app="EN" db-id="rd2zv2rpndvzpne9ptav2e5q52wasx0paffp"&gt;171&lt;/key&gt;&lt;/foreign-keys&gt;&lt;ref-type name="Journal Article"&gt;17&lt;/ref-type&gt;&lt;contributors&gt;&lt;authors&gt;&lt;author&gt;Daage, M.&lt;/author&gt;&lt;author&gt;Chianelli, R. R.&lt;/author&gt;&lt;/authors&gt;&lt;/contributors&gt;&lt;titles&gt;&lt;title&gt;Structure-Function Relations in Molybdenum Sulfide Catalysts: The &amp;quot;Rim-Edge&amp;quot; Model&lt;/title&gt;&lt;secondary-title&gt;Journal of Catalysis&lt;/secondary-title&gt;&lt;/titles&gt;&lt;periodical&gt;&lt;full-title&gt;Journal of Catalysis&lt;/full-title&gt;&lt;/periodical&gt;&lt;pages&gt;414-427&lt;/pages&gt;&lt;volume&gt;149&lt;/volume&gt;&lt;number&gt;2&lt;/number&gt;&lt;keywords&gt;&lt;keyword&gt;chemistry&lt;/keyword&gt;&lt;keyword&gt;coal, lignite, and peat&lt;/keyword&gt;&lt;keyword&gt;molybdenum sulfides&lt;/keyword&gt;&lt;keyword&gt;catalytic effects&lt;/keyword&gt;&lt;keyword&gt;structural chemical analysis&lt;/keyword&gt;&lt;keyword&gt;polycyclic sulfur heterocycles&lt;/keyword&gt;&lt;keyword&gt;desulfurization&lt;/keyword&gt;&lt;keyword&gt;hydrogenation&lt;/keyword&gt;&lt;keyword&gt;catalysts&lt;/keyword&gt;&lt;keyword&gt;x-ray diffraction&lt;/keyword&gt;&lt;/keywords&gt;&lt;dates&gt;&lt;year&gt;1994&lt;/year&gt;&lt;/dates&gt;&lt;urls&gt;&lt;/urls&gt;&lt;/record&gt;&lt;/Cite&gt;&lt;/EndNote&gt;</w:instrText>
            </w:r>
            <w:r w:rsidR="00961785">
              <w:rPr>
                <w:sz w:val="24"/>
                <w:szCs w:val="24"/>
              </w:rPr>
              <w:fldChar w:fldCharType="separate"/>
            </w:r>
            <w:r>
              <w:rPr>
                <w:sz w:val="24"/>
                <w:szCs w:val="24"/>
              </w:rPr>
              <w:t>[24]</w:t>
            </w:r>
            <w:r w:rsidR="00961785">
              <w:rPr>
                <w:sz w:val="24"/>
                <w:szCs w:val="24"/>
              </w:rPr>
              <w:fldChar w:fldCharType="end"/>
            </w:r>
            <w:r>
              <w:rPr>
                <w:sz w:val="24"/>
                <w:szCs w:val="24"/>
              </w:rPr>
              <w:t>，据此模型，二硫化钼催化</w:t>
            </w:r>
            <w:r>
              <w:rPr>
                <w:sz w:val="24"/>
                <w:szCs w:val="24"/>
              </w:rPr>
              <w:t>HDO</w:t>
            </w:r>
            <w:r>
              <w:rPr>
                <w:sz w:val="24"/>
                <w:szCs w:val="24"/>
              </w:rPr>
              <w:t>反应的活性位点位于堆垛层的边缘上，其中，直接脱氧反应发生于</w:t>
            </w:r>
            <w:r>
              <w:rPr>
                <w:sz w:val="24"/>
                <w:szCs w:val="24"/>
              </w:rPr>
              <w:t>Rim</w:t>
            </w:r>
            <w:r>
              <w:rPr>
                <w:sz w:val="24"/>
                <w:szCs w:val="24"/>
              </w:rPr>
              <w:t>位和</w:t>
            </w:r>
            <w:bookmarkStart w:id="2" w:name="OLE_LINK1"/>
            <w:bookmarkStart w:id="3" w:name="OLE_LINK2"/>
            <w:r>
              <w:rPr>
                <w:sz w:val="24"/>
                <w:szCs w:val="24"/>
              </w:rPr>
              <w:t>Edge</w:t>
            </w:r>
            <w:bookmarkEnd w:id="2"/>
            <w:bookmarkEnd w:id="3"/>
            <w:r>
              <w:rPr>
                <w:sz w:val="24"/>
                <w:szCs w:val="24"/>
              </w:rPr>
              <w:t>位，加氢反应只发生于</w:t>
            </w:r>
            <w:r>
              <w:rPr>
                <w:sz w:val="24"/>
                <w:szCs w:val="24"/>
              </w:rPr>
              <w:t>Rim</w:t>
            </w:r>
            <w:r>
              <w:rPr>
                <w:sz w:val="24"/>
                <w:szCs w:val="24"/>
              </w:rPr>
              <w:t>位，而暴露比例较大的</w:t>
            </w:r>
            <w:r>
              <w:rPr>
                <w:sz w:val="24"/>
                <w:szCs w:val="24"/>
              </w:rPr>
              <w:t>basal</w:t>
            </w:r>
            <w:r>
              <w:rPr>
                <w:sz w:val="24"/>
                <w:szCs w:val="24"/>
              </w:rPr>
              <w:t>面并不具有催化</w:t>
            </w:r>
            <w:r>
              <w:rPr>
                <w:sz w:val="24"/>
                <w:szCs w:val="24"/>
              </w:rPr>
              <w:t>HDO</w:t>
            </w:r>
            <w:r>
              <w:rPr>
                <w:sz w:val="24"/>
                <w:szCs w:val="24"/>
              </w:rPr>
              <w:t>反应活性位点，如图</w:t>
            </w:r>
            <w:r>
              <w:rPr>
                <w:sz w:val="24"/>
                <w:szCs w:val="24"/>
              </w:rPr>
              <w:t>1</w:t>
            </w:r>
            <w:r>
              <w:rPr>
                <w:sz w:val="24"/>
                <w:szCs w:val="24"/>
              </w:rPr>
              <w:t>示。因此，本项目针对提高二硫化钼催化酚类化合物</w:t>
            </w:r>
            <w:r>
              <w:rPr>
                <w:sz w:val="24"/>
                <w:szCs w:val="24"/>
              </w:rPr>
              <w:t>HDO</w:t>
            </w:r>
            <w:r>
              <w:rPr>
                <w:sz w:val="24"/>
                <w:szCs w:val="24"/>
              </w:rPr>
              <w:t>反应速率，拟制备毛虫状</w:t>
            </w:r>
            <w:r>
              <w:rPr>
                <w:sz w:val="24"/>
                <w:szCs w:val="24"/>
              </w:rPr>
              <w:t>MoS</w:t>
            </w:r>
            <w:r>
              <w:rPr>
                <w:sz w:val="24"/>
                <w:szCs w:val="24"/>
                <w:vertAlign w:val="subscript"/>
              </w:rPr>
              <w:t>2</w:t>
            </w:r>
            <w:r>
              <w:rPr>
                <w:sz w:val="24"/>
                <w:szCs w:val="24"/>
              </w:rPr>
              <w:t>加氢脱氧催化剂，该催化剂具有较高的</w:t>
            </w:r>
            <w:r>
              <w:rPr>
                <w:sz w:val="24"/>
                <w:szCs w:val="24"/>
              </w:rPr>
              <w:t>Rim-Edge</w:t>
            </w:r>
            <w:r>
              <w:rPr>
                <w:sz w:val="24"/>
                <w:szCs w:val="24"/>
              </w:rPr>
              <w:t>位暴露比例，提高催化剂催化反应速率。同时，由于具有较高的堆垛层数，</w:t>
            </w:r>
            <w:r>
              <w:rPr>
                <w:sz w:val="24"/>
                <w:szCs w:val="24"/>
              </w:rPr>
              <w:t>Edge/(Rim+Edge)</w:t>
            </w:r>
            <w:r>
              <w:rPr>
                <w:sz w:val="24"/>
                <w:szCs w:val="24"/>
              </w:rPr>
              <w:t>增加，能够促进反应沿</w:t>
            </w:r>
            <w:r>
              <w:rPr>
                <w:sz w:val="24"/>
                <w:szCs w:val="24"/>
              </w:rPr>
              <w:t>DDO</w:t>
            </w:r>
            <w:r>
              <w:rPr>
                <w:sz w:val="24"/>
                <w:szCs w:val="24"/>
              </w:rPr>
              <w:t>路径进行，从而减少</w:t>
            </w:r>
            <w:r>
              <w:rPr>
                <w:sz w:val="24"/>
                <w:szCs w:val="24"/>
              </w:rPr>
              <w:t>HDO</w:t>
            </w:r>
            <w:r>
              <w:rPr>
                <w:sz w:val="24"/>
                <w:szCs w:val="24"/>
              </w:rPr>
              <w:t>反应过程中的氢气消耗，实现优质脱氧。</w:t>
            </w:r>
          </w:p>
          <w:p w:rsidR="00961785" w:rsidRDefault="00056610">
            <w:pPr>
              <w:spacing w:line="360" w:lineRule="auto"/>
              <w:ind w:leftChars="50" w:left="105" w:rightChars="50" w:right="105"/>
              <w:rPr>
                <w:rFonts w:eastAsia="FangSong"/>
                <w:b/>
                <w:bCs/>
                <w:sz w:val="24"/>
              </w:rPr>
            </w:pPr>
            <w:r>
              <w:rPr>
                <w:rFonts w:eastAsia="FangSong"/>
                <w:b/>
                <w:bCs/>
                <w:sz w:val="24"/>
              </w:rPr>
              <w:lastRenderedPageBreak/>
              <w:t>附参考文献：</w:t>
            </w:r>
          </w:p>
          <w:p w:rsidR="00961785" w:rsidRDefault="00961785" w:rsidP="00922885">
            <w:pPr>
              <w:pStyle w:val="EndNoteBibliography"/>
              <w:spacing w:before="120" w:line="320" w:lineRule="exact"/>
              <w:ind w:left="560" w:hangingChars="200" w:hanging="560"/>
              <w:rPr>
                <w:rFonts w:ascii="Times New Roman" w:hAnsi="Times New Roman" w:cs="Times New Roman"/>
              </w:rPr>
            </w:pPr>
            <w:r>
              <w:rPr>
                <w:rFonts w:ascii="Times New Roman" w:hAnsi="Times New Roman" w:cs="Times New Roman"/>
                <w:sz w:val="28"/>
                <w:szCs w:val="28"/>
              </w:rPr>
              <w:fldChar w:fldCharType="begin"/>
            </w:r>
            <w:r w:rsidR="00056610">
              <w:rPr>
                <w:rFonts w:ascii="Times New Roman" w:hAnsi="Times New Roman" w:cs="Times New Roman"/>
                <w:sz w:val="28"/>
                <w:szCs w:val="28"/>
              </w:rPr>
              <w:instrText xml:space="preserve"> ADDIN EN.REFLIST </w:instrText>
            </w:r>
            <w:r>
              <w:rPr>
                <w:rFonts w:ascii="Times New Roman" w:hAnsi="Times New Roman" w:cs="Times New Roman"/>
                <w:sz w:val="28"/>
                <w:szCs w:val="28"/>
              </w:rPr>
              <w:fldChar w:fldCharType="separate"/>
            </w:r>
            <w:r w:rsidR="00056610">
              <w:rPr>
                <w:rFonts w:ascii="Times New Roman" w:hAnsi="Times New Roman" w:cs="Times New Roman"/>
              </w:rPr>
              <w:t>[1] Q. Bu, H.W. Lei, S.J. Ren, L. Wang, Q. Zhang, J.M. Tang, R. Ruan, Production of phenols and biofuels by catalytic microwave pyrolysis of lignocellulosic biomass, Bioresource Technology 108(2) (2012) 274.</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 H.W. Lee, R.J. Bo, H. Kim, D.H. Kim, J.K. Jeon, S.H. Park, H.K. Chang, T.W. Kim, Y.K. Park, Catalytic hydrodeoxygenation of 2-methoxy phenol and dibenzofuran over Pt/mesoporous zeolites, Energy 81 (2014) 33-40.</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[3] T. Yamaguchi, Y. Kanai, H. Yokozuka, Hydrogenation catalyst for aromatic hydrocarbons contained in hydrocarbon oils, US, 2003.</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[4] C. Sepúlveda, R. García, P. Reyes, I.T. Ghampson, J.L.G. Fierro, D. Laurenti, M. Vrinat, N. Escalona, Hydrodeoxygenation of guaiacol over ReS 2 /activated carbon catalysts. Support and Re loading effect, Applied Catalysis A General 475(2) (2014) 427-437.</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[5] M.Á. Gonzálezborja, D.E. Resasco, Anisole and Guaiacol Hydrodeoxygenation over Monolithic Pt–Sn Catalysts, Energy &amp; Fuels 25(9) (2011) 4155-4162.</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[6] C. Zhao, Y. Kou, A.A. Lemonidou, X. Li, J.A. Lercher, Highly Selective Catalytic Conversion of Phenolic Bio-Oil to Alkanes, Angewandte Chemie 121(22) (2009) 3987-3990.</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[7] Z. C, K. Y, L. AA, L. X, L. JA, Hydrodeoxygenation of bio-derived phenols to hydrocarbons using RANEY Ni and Nafion/SiO2 catalysts, Chemical communications (Cambridge, England) 46(3) (2010) 412-4.</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[8] W. Wang, K. Zhang, L. Li, K. Wu, P. Liu, Y. Yang, Synthesis of Highly Active Co–Mo–S Unsupported Catalysts by a One-Step Hydrothermal Method for p-Cresol Hydrodeoxygenation, Industrial &amp; Engineering Chemistry Research 53(49) (2016) 19001-19009.</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[9] B. Yoosuk, D. Tumnantong, P. Prasassarakich, Amorphous unsupported Ni–Mo sulfide prepared by one step hydrothermal method for phenol hydrodeoxygenation, Fuel 91(1) (2012) 246-252.</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[10] A. Popov, E. Kondratieva, L. Mariey, J.M. Goupil, J.E. Fallah, J.P. Gilson, A. Travert, F. Maugé, Bio-oil hydrodeoxygenation: Adsorption of phenolic compounds on sulfided (Co)Mo catalysts, Journal of Catalysis 297(1) (2013) 176-186.</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[11] V.N. Bui, D. Laurenti, P. Afanasiev, C. Geantet, Hydrodeoxygenation of guaiacol with CoMo catalysts. Part I: Promoting effect of cobalt on HDO selectivity and activity, Applied Catalysis B Environmental 101(3-4) (2011) 239-245.</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[12] M. Badawi, J.F. Paul, S. Cristol, E. Payen, Y. Romero, F. Richard, S. Brunet, D. Lambert, X. Portier, A. Popov, Effect of water on the stability of Mo and CoMo hydrodeoxygenation catalysts: A combined experimental and DFT study, Journal of Catalysis 282(1) (2011) 155-164.</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 xml:space="preserve">[13] W. Wang, Z. Qiao, K. Zhang, P. Liu, Y. Yang, K. Wu, Highly selective catalytic </w:t>
            </w:r>
            <w:r>
              <w:rPr>
                <w:rFonts w:ascii="Times New Roman" w:hAnsi="Times New Roman" w:cs="Times New Roman"/>
              </w:rPr>
              <w:lastRenderedPageBreak/>
              <w:t>hydrodeoxygenation of Caromatic–OH in bio-oil to cycloalkanes on a Ce–Ni–W–B amorphous catalyst, RSC Advances 4(70) (2014) 37288-37295.</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[14] W. Wang, P. Liu, K. Wu, K. Zhang, L. Li, Z. Qiao, Y. Yang, Synthesis of Ni–P–B amorphous nanoparticles with uniform size as a potential hydrodeoxygenation catalyst, New Journal of Chemistry 39(2) (2015) 813-816.</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[15] W. Wang, S. Yang, Z. Qiao, P. Liu, K. Wu, Y. Yang, Preparation of Ni–W–P–B amorphous catalyst for the hydrodeoxygenation of p -cresol, Catalysis Communications 60(4) (2015) 50-54.</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[16] W. Wang, P. Liu, K. Wu, S. Tan, W. Li, Y. Yang, Preparation of hydrophobic reduced graphene oxide supported Ni-B-P-O and Co-B-P-O catalysts and their high hydrodeoxygenation activities, Green Chemistry 18(4) (2016) 984-988.</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[17] X. Zhang, Q. Zhang, L. Chen, Y. Xu, T. Wang, L. Ma, Effect of calcination temperature of Ni/SiO 2 -ZrO 2 catalyst on its hydrodeoxygenation of guaiacol, Chinese Journal of Catalysis 35(3) (2014) 302-309.</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[18] L. Nie, P.M.d. Souza, F.B. Noronha, W. An, T. Sooknoi, D.E. Resasco, Selective conversion of m-cresol to toluene over bimetallic Ni–Fe catalysts, Journal of Molecular Catalysis. A, Chemical 388-389 (2014) 47-55.</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[19] P.M. Mortensen, J.D. Grunwaldt, P.A. Jensen, A.D. Jensen, Influence on nickel particle size on the hydrodeoxygenation of phenol over Ni/SiO 2, Catalysis Today 259 (2016) 277-284.</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[20] P.M. Mortensen, H.W.P.D. Carvalho, J.D. Grunwaldt, P.A. Jensen, A.D. Jensen, Activity and stability of Mo 2 C/ZrO 2 as catalyst for hydrodeoxygenation of mixtures of phenol and 1-octanol, Journal of Catalysis 328(4) (2015) 208-215.</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[21] M. R, C. K, Y. L, M. X, L. Y, Selective catalytic conversion of guaiacol to phenols over a molybdenum carbide catalyst, Chemical communications (Cambridge, England) 51(51) (2015) 10299.</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[22] Y. Li, X. Yang, L. Zhu, H. Zhang, B. Chen, Hydrodeoxygenation of phenol as a bio-oil model compound on intimate contact noble metal-Ni</w:t>
            </w:r>
            <w:r>
              <w:rPr>
                <w:rFonts w:ascii="Times New Roman" w:hAnsi="Times New Roman" w:cs="Times New Roman"/>
                <w:vertAlign w:val="subscript"/>
              </w:rPr>
              <w:t>2</w:t>
            </w:r>
            <w:r>
              <w:rPr>
                <w:rFonts w:ascii="Times New Roman" w:hAnsi="Times New Roman" w:cs="Times New Roman"/>
              </w:rPr>
              <w:t>P/SiO2 catalyst, Rsc Advances 5(98) (2015) 80388-80396.</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[23] S. SM, L. OD, K. M, R. AK, D.A. AD, Y. MM, S. C, Hydrodeoxygenation of Guaiacol over Ceria-Zirconia Catalysts, ChemSusChem 8(12) (2015) 2073.</w:t>
            </w:r>
          </w:p>
          <w:p w:rsidR="00961785" w:rsidRDefault="00056610" w:rsidP="00922885">
            <w:pPr>
              <w:pStyle w:val="EndNoteBibliography"/>
              <w:spacing w:before="120" w:line="320" w:lineRule="exact"/>
              <w:ind w:left="440" w:hangingChars="200" w:hanging="440"/>
              <w:rPr>
                <w:rFonts w:ascii="Times New Roman" w:hAnsi="Times New Roman" w:cs="Times New Roman"/>
              </w:rPr>
            </w:pPr>
            <w:r>
              <w:rPr>
                <w:rFonts w:ascii="Times New Roman" w:hAnsi="Times New Roman" w:cs="Times New Roman"/>
              </w:rPr>
              <w:t>[24] M. Daage, R.R. Chianelli, Structure-Function Relations in Molybdenum Sulfide Catalysts: The "Rim-Edge" Model, Journal of Catalysis 149(2) (1994) 414-427.</w:t>
            </w:r>
          </w:p>
          <w:p w:rsidR="00961785" w:rsidRDefault="00961785" w:rsidP="00056610">
            <w:pPr>
              <w:snapToGrid w:val="0"/>
              <w:spacing w:beforeLines="50" w:before="156" w:afterLines="50" w:after="156" w:line="300" w:lineRule="auto"/>
              <w:rPr>
                <w:sz w:val="28"/>
                <w:szCs w:val="28"/>
              </w:rPr>
            </w:pPr>
            <w:r>
              <w:rPr>
                <w:sz w:val="28"/>
                <w:szCs w:val="28"/>
              </w:rPr>
              <w:fldChar w:fldCharType="end"/>
            </w:r>
          </w:p>
          <w:p w:rsidR="00961785" w:rsidRDefault="00961785" w:rsidP="00056610">
            <w:pPr>
              <w:snapToGrid w:val="0"/>
              <w:spacing w:beforeLines="50" w:before="156" w:afterLines="50" w:after="156" w:line="300" w:lineRule="auto"/>
              <w:rPr>
                <w:sz w:val="28"/>
                <w:szCs w:val="28"/>
              </w:rPr>
            </w:pPr>
          </w:p>
          <w:p w:rsidR="00961785" w:rsidRDefault="00961785" w:rsidP="00056610">
            <w:pPr>
              <w:snapToGrid w:val="0"/>
              <w:spacing w:beforeLines="50" w:before="156" w:afterLines="50" w:after="156" w:line="300" w:lineRule="auto"/>
              <w:rPr>
                <w:sz w:val="28"/>
                <w:szCs w:val="28"/>
              </w:rPr>
            </w:pP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lastRenderedPageBreak/>
              <w:t>创新点与项目特色</w:t>
            </w:r>
          </w:p>
          <w:p w:rsidR="00961785" w:rsidRDefault="00056610" w:rsidP="00922885">
            <w:pPr>
              <w:pStyle w:val="duanluo"/>
              <w:spacing w:line="324" w:lineRule="auto"/>
              <w:ind w:leftChars="50" w:left="105" w:rightChars="50" w:right="105" w:firstLine="480"/>
              <w:rPr>
                <w:rFonts w:eastAsia="宋体"/>
                <w:color w:val="000000"/>
              </w:rPr>
            </w:pPr>
            <w:r>
              <w:rPr>
                <w:rFonts w:eastAsia="宋体"/>
              </w:rPr>
              <w:t xml:space="preserve">(1) </w:t>
            </w:r>
            <w:r>
              <w:rPr>
                <w:rStyle w:val="duanluo0"/>
                <w:rFonts w:eastAsia="宋体"/>
              </w:rPr>
              <w:t>通过引入模版剂调控水热过程中二硫化钼的晶体生长规律，制备出具有</w:t>
            </w:r>
            <w:r>
              <w:rPr>
                <w:rFonts w:eastAsia="宋体"/>
              </w:rPr>
              <w:t>高暴露</w:t>
            </w:r>
            <w:r>
              <w:rPr>
                <w:rFonts w:eastAsia="宋体"/>
              </w:rPr>
              <w:t>Rim-Edge</w:t>
            </w:r>
            <w:r>
              <w:rPr>
                <w:rFonts w:eastAsia="宋体"/>
              </w:rPr>
              <w:t>活性位点的</w:t>
            </w:r>
            <w:r>
              <w:rPr>
                <w:rFonts w:eastAsia="宋体"/>
              </w:rPr>
              <w:t>Worm-Like</w:t>
            </w:r>
            <w:r>
              <w:rPr>
                <w:rFonts w:eastAsia="宋体"/>
              </w:rPr>
              <w:t>二硫化钼</w:t>
            </w:r>
            <w:r>
              <w:rPr>
                <w:rFonts w:eastAsia="宋体"/>
                <w:szCs w:val="24"/>
              </w:rPr>
              <w:t>催化剂</w:t>
            </w:r>
            <w:r>
              <w:rPr>
                <w:rFonts w:eastAsia="宋体"/>
                <w:color w:val="000000"/>
              </w:rPr>
              <w:t>，显著提高催化剂的</w:t>
            </w:r>
            <w:r>
              <w:rPr>
                <w:rFonts w:eastAsia="宋体"/>
                <w:color w:val="000000"/>
              </w:rPr>
              <w:t>HDO</w:t>
            </w:r>
            <w:r>
              <w:rPr>
                <w:rFonts w:eastAsia="宋体"/>
                <w:color w:val="000000"/>
              </w:rPr>
              <w:t>活性。</w:t>
            </w:r>
          </w:p>
          <w:p w:rsidR="00961785" w:rsidRDefault="00056610" w:rsidP="00922885">
            <w:pPr>
              <w:pStyle w:val="duanluo"/>
              <w:spacing w:line="324" w:lineRule="auto"/>
              <w:ind w:leftChars="0" w:left="0" w:right="86" w:firstLineChars="224" w:firstLine="538"/>
              <w:rPr>
                <w:rFonts w:eastAsia="宋体"/>
                <w:b/>
                <w:bCs/>
              </w:rPr>
            </w:pPr>
            <w:r>
              <w:rPr>
                <w:rFonts w:eastAsia="宋体"/>
                <w:color w:val="000000"/>
              </w:rPr>
              <w:t xml:space="preserve">(2) </w:t>
            </w:r>
            <w:r>
              <w:rPr>
                <w:rFonts w:eastAsia="宋体"/>
                <w:color w:val="000000"/>
              </w:rPr>
              <w:t>所制备的催化剂堆垛层数明显增加</w:t>
            </w:r>
            <w:r>
              <w:rPr>
                <w:rFonts w:eastAsia="宋体"/>
              </w:rPr>
              <w:t>，活性位中</w:t>
            </w:r>
            <w:r>
              <w:rPr>
                <w:rFonts w:eastAsia="宋体"/>
              </w:rPr>
              <w:t>Edge</w:t>
            </w:r>
            <w:r>
              <w:rPr>
                <w:rFonts w:eastAsia="宋体"/>
              </w:rPr>
              <w:t>边缘占比增加，促进反应按直接脱氧的路径进行，从而调整产物分布，减少氢气消耗量。</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技术路线、拟解决的问题及预期成果</w:t>
            </w:r>
          </w:p>
          <w:p w:rsidR="00961785" w:rsidRDefault="00056610" w:rsidP="00922885">
            <w:pPr>
              <w:spacing w:line="336" w:lineRule="auto"/>
              <w:ind w:rightChars="41" w:right="86" w:firstLineChars="224" w:firstLine="540"/>
              <w:rPr>
                <w:rFonts w:eastAsia="FangSong"/>
                <w:b/>
                <w:sz w:val="24"/>
              </w:rPr>
            </w:pPr>
            <w:r>
              <w:rPr>
                <w:rFonts w:eastAsia="FangSong"/>
                <w:b/>
                <w:sz w:val="24"/>
              </w:rPr>
              <w:t>技术路线</w:t>
            </w:r>
          </w:p>
          <w:p w:rsidR="00961785" w:rsidRDefault="00056610">
            <w:pPr>
              <w:ind w:leftChars="50" w:left="105" w:rightChars="50" w:right="105"/>
              <w:jc w:val="center"/>
              <w:rPr>
                <w:rFonts w:eastAsia="楷体_GB2312"/>
                <w:sz w:val="28"/>
                <w:szCs w:val="28"/>
              </w:rPr>
            </w:pPr>
            <w:r>
              <w:rPr>
                <w:rFonts w:eastAsia="楷体_GB2312"/>
                <w:noProof/>
                <w:sz w:val="28"/>
                <w:szCs w:val="28"/>
              </w:rPr>
              <w:drawing>
                <wp:inline distT="0" distB="0" distL="0" distR="0">
                  <wp:extent cx="4903470" cy="2401570"/>
                  <wp:effectExtent l="0" t="0" r="11430" b="17780"/>
                  <wp:docPr id="1029"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图片 28"/>
                          <pic:cNvPicPr/>
                        </pic:nvPicPr>
                        <pic:blipFill>
                          <a:blip r:embed="rId11" cstate="print"/>
                          <a:srcRect/>
                          <a:stretch/>
                        </pic:blipFill>
                        <pic:spPr>
                          <a:xfrm>
                            <a:off x="0" y="0"/>
                            <a:ext cx="4903470" cy="2401570"/>
                          </a:xfrm>
                          <a:prstGeom prst="rect">
                            <a:avLst/>
                          </a:prstGeom>
                        </pic:spPr>
                      </pic:pic>
                    </a:graphicData>
                  </a:graphic>
                </wp:inline>
              </w:drawing>
            </w:r>
          </w:p>
          <w:p w:rsidR="00961785" w:rsidRDefault="00056610">
            <w:pPr>
              <w:ind w:leftChars="50" w:left="105" w:rightChars="50" w:right="105"/>
              <w:jc w:val="center"/>
              <w:rPr>
                <w:rFonts w:eastAsia="楷体_GB2312"/>
                <w:sz w:val="20"/>
                <w:szCs w:val="20"/>
              </w:rPr>
            </w:pPr>
            <w:r>
              <w:rPr>
                <w:rFonts w:eastAsia="楷体_GB2312"/>
                <w:sz w:val="20"/>
                <w:szCs w:val="20"/>
              </w:rPr>
              <w:t>图</w:t>
            </w:r>
            <w:r>
              <w:rPr>
                <w:rFonts w:eastAsia="楷体_GB2312"/>
                <w:sz w:val="20"/>
                <w:szCs w:val="20"/>
              </w:rPr>
              <w:t xml:space="preserve">2 </w:t>
            </w:r>
            <w:r>
              <w:rPr>
                <w:rFonts w:eastAsia="楷体_GB2312"/>
                <w:sz w:val="20"/>
                <w:szCs w:val="20"/>
              </w:rPr>
              <w:t>项目的技术路线</w:t>
            </w:r>
          </w:p>
          <w:p w:rsidR="00961785" w:rsidRDefault="00056610" w:rsidP="00922885">
            <w:pPr>
              <w:spacing w:line="336" w:lineRule="auto"/>
              <w:ind w:rightChars="41" w:right="86" w:firstLineChars="224" w:firstLine="540"/>
              <w:rPr>
                <w:rFonts w:eastAsia="FangSong"/>
                <w:b/>
                <w:sz w:val="24"/>
              </w:rPr>
            </w:pPr>
            <w:r>
              <w:rPr>
                <w:rFonts w:eastAsia="FangSong"/>
                <w:b/>
                <w:sz w:val="24"/>
              </w:rPr>
              <w:t>预期成果</w:t>
            </w:r>
          </w:p>
          <w:p w:rsidR="00961785" w:rsidRDefault="00056610" w:rsidP="00922885">
            <w:pPr>
              <w:pStyle w:val="duanluo"/>
              <w:spacing w:line="324" w:lineRule="auto"/>
              <w:ind w:leftChars="0" w:left="0" w:right="86" w:firstLineChars="224" w:firstLine="538"/>
              <w:rPr>
                <w:rFonts w:eastAsia="宋体"/>
              </w:rPr>
            </w:pPr>
            <w:r>
              <w:rPr>
                <w:rFonts w:eastAsia="宋体"/>
              </w:rPr>
              <w:t>本项目完成后，可望获得以下成果：</w:t>
            </w:r>
          </w:p>
          <w:p w:rsidR="00961785" w:rsidRDefault="00056610" w:rsidP="00922885">
            <w:pPr>
              <w:pStyle w:val="duanluo"/>
              <w:spacing w:line="324" w:lineRule="auto"/>
              <w:ind w:leftChars="0" w:left="0" w:right="86" w:firstLineChars="224" w:firstLine="538"/>
              <w:rPr>
                <w:rFonts w:eastAsia="宋体"/>
              </w:rPr>
            </w:pPr>
            <w:r>
              <w:rPr>
                <w:rFonts w:eastAsia="宋体"/>
              </w:rPr>
              <w:t xml:space="preserve">(1) </w:t>
            </w:r>
            <w:r>
              <w:rPr>
                <w:rFonts w:eastAsia="宋体"/>
              </w:rPr>
              <w:t>获得高暴露</w:t>
            </w:r>
            <w:r>
              <w:rPr>
                <w:rFonts w:eastAsia="宋体"/>
              </w:rPr>
              <w:t>Rim-Edge</w:t>
            </w:r>
            <w:r>
              <w:rPr>
                <w:rFonts w:eastAsia="宋体"/>
              </w:rPr>
              <w:t>活性位点的</w:t>
            </w:r>
            <w:r>
              <w:rPr>
                <w:rFonts w:eastAsia="宋体"/>
              </w:rPr>
              <w:t>Worm-Like</w:t>
            </w:r>
            <w:r>
              <w:rPr>
                <w:rFonts w:eastAsia="宋体"/>
              </w:rPr>
              <w:t>二硫化钼</w:t>
            </w:r>
            <w:r>
              <w:rPr>
                <w:rFonts w:eastAsia="宋体"/>
                <w:szCs w:val="24"/>
              </w:rPr>
              <w:t>催化剂</w:t>
            </w:r>
            <w:r>
              <w:rPr>
                <w:rFonts w:eastAsia="宋体"/>
              </w:rPr>
              <w:t>，催化含氧化合物</w:t>
            </w:r>
            <w:r>
              <w:rPr>
                <w:rFonts w:eastAsia="宋体"/>
              </w:rPr>
              <w:t>HDO</w:t>
            </w:r>
            <w:r>
              <w:rPr>
                <w:rFonts w:eastAsia="宋体"/>
              </w:rPr>
              <w:t>转化率达到</w:t>
            </w:r>
            <w:r>
              <w:rPr>
                <w:rFonts w:eastAsia="宋体"/>
              </w:rPr>
              <w:t>90%</w:t>
            </w:r>
            <w:r>
              <w:rPr>
                <w:rFonts w:eastAsia="宋体"/>
              </w:rPr>
              <w:t>以上，且产物芳烃选择性达到</w:t>
            </w:r>
            <w:r>
              <w:rPr>
                <w:rFonts w:eastAsia="宋体"/>
              </w:rPr>
              <w:t>90%</w:t>
            </w:r>
            <w:r>
              <w:rPr>
                <w:rFonts w:eastAsia="宋体"/>
              </w:rPr>
              <w:t>以上；</w:t>
            </w:r>
          </w:p>
          <w:p w:rsidR="00961785" w:rsidRDefault="00056610" w:rsidP="00922885">
            <w:pPr>
              <w:pStyle w:val="duanluo"/>
              <w:spacing w:line="324" w:lineRule="auto"/>
              <w:ind w:leftChars="0" w:left="0" w:right="86" w:firstLineChars="224" w:firstLine="538"/>
              <w:rPr>
                <w:rFonts w:eastAsia="宋体"/>
              </w:rPr>
            </w:pPr>
            <w:r>
              <w:rPr>
                <w:rFonts w:eastAsia="宋体"/>
              </w:rPr>
              <w:t>(2)</w:t>
            </w:r>
            <w:r>
              <w:rPr>
                <w:rFonts w:eastAsia="宋体"/>
              </w:rPr>
              <w:t>所得成果在国内外重要专业学术刊物发表研究论文</w:t>
            </w:r>
            <w:r>
              <w:rPr>
                <w:rFonts w:eastAsia="宋体"/>
              </w:rPr>
              <w:t>1~2</w:t>
            </w:r>
            <w:r>
              <w:rPr>
                <w:rFonts w:eastAsia="宋体"/>
              </w:rPr>
              <w:t>篇；</w:t>
            </w:r>
          </w:p>
          <w:p w:rsidR="00961785" w:rsidRDefault="00056610" w:rsidP="00922885">
            <w:pPr>
              <w:pStyle w:val="duanluo"/>
              <w:spacing w:line="324" w:lineRule="auto"/>
              <w:ind w:leftChars="0" w:left="0" w:right="86" w:firstLineChars="224" w:firstLine="538"/>
              <w:rPr>
                <w:rFonts w:eastAsia="宋体"/>
                <w:b/>
                <w:bCs/>
              </w:rPr>
            </w:pPr>
            <w:r>
              <w:rPr>
                <w:rFonts w:eastAsia="宋体"/>
              </w:rPr>
              <w:t>(3)</w:t>
            </w:r>
            <w:r>
              <w:rPr>
                <w:rFonts w:eastAsia="宋体"/>
              </w:rPr>
              <w:t>能有效调动学生对本专业的兴趣，激发学生自主学习的动力并有效提高学生的动手能力。</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项目研究进度安排</w:t>
            </w:r>
          </w:p>
          <w:p w:rsidR="00961785" w:rsidRDefault="00056610" w:rsidP="00922885">
            <w:pPr>
              <w:spacing w:line="336" w:lineRule="auto"/>
              <w:ind w:rightChars="41" w:right="86" w:firstLineChars="224" w:firstLine="538"/>
              <w:rPr>
                <w:sz w:val="24"/>
                <w:szCs w:val="24"/>
              </w:rPr>
            </w:pPr>
            <w:r>
              <w:rPr>
                <w:sz w:val="24"/>
                <w:szCs w:val="24"/>
              </w:rPr>
              <w:t>本研究项目计划用</w:t>
            </w:r>
            <w:r>
              <w:rPr>
                <w:sz w:val="24"/>
                <w:szCs w:val="24"/>
              </w:rPr>
              <w:t>2</w:t>
            </w:r>
            <w:r>
              <w:rPr>
                <w:sz w:val="24"/>
                <w:szCs w:val="24"/>
              </w:rPr>
              <w:t>年时间完成，具体进展安排如下：</w:t>
            </w:r>
          </w:p>
          <w:p w:rsidR="00961785" w:rsidRDefault="00056610">
            <w:pPr>
              <w:pStyle w:val="duanluo"/>
              <w:ind w:leftChars="0" w:left="0" w:right="86" w:firstLineChars="203" w:firstLine="489"/>
              <w:rPr>
                <w:rFonts w:eastAsia="宋体"/>
                <w:b/>
                <w:szCs w:val="24"/>
              </w:rPr>
            </w:pPr>
            <w:r>
              <w:rPr>
                <w:rFonts w:eastAsia="宋体"/>
                <w:b/>
                <w:szCs w:val="24"/>
              </w:rPr>
              <w:t>2019</w:t>
            </w:r>
            <w:r>
              <w:rPr>
                <w:rFonts w:eastAsia="宋体"/>
                <w:b/>
                <w:szCs w:val="24"/>
              </w:rPr>
              <w:t>年</w:t>
            </w:r>
            <w:r>
              <w:rPr>
                <w:rFonts w:eastAsia="宋体"/>
                <w:b/>
                <w:szCs w:val="24"/>
              </w:rPr>
              <w:t>05</w:t>
            </w:r>
            <w:r>
              <w:rPr>
                <w:rFonts w:eastAsia="宋体"/>
                <w:b/>
                <w:szCs w:val="24"/>
              </w:rPr>
              <w:t>月</w:t>
            </w:r>
            <w:r>
              <w:rPr>
                <w:rFonts w:eastAsia="宋体"/>
                <w:b/>
                <w:szCs w:val="24"/>
              </w:rPr>
              <w:t>——2020</w:t>
            </w:r>
            <w:r>
              <w:rPr>
                <w:rFonts w:eastAsia="宋体"/>
                <w:b/>
                <w:szCs w:val="24"/>
              </w:rPr>
              <w:t>年</w:t>
            </w:r>
            <w:r>
              <w:rPr>
                <w:rFonts w:eastAsia="宋体"/>
                <w:b/>
                <w:szCs w:val="24"/>
              </w:rPr>
              <w:t>05</w:t>
            </w:r>
            <w:r>
              <w:rPr>
                <w:rFonts w:eastAsia="宋体"/>
                <w:b/>
                <w:szCs w:val="24"/>
              </w:rPr>
              <w:t>月（第一年度）</w:t>
            </w:r>
          </w:p>
          <w:p w:rsidR="00961785" w:rsidRDefault="00056610" w:rsidP="00922885">
            <w:pPr>
              <w:pStyle w:val="duanluo"/>
              <w:spacing w:line="336" w:lineRule="auto"/>
              <w:ind w:leftChars="0" w:left="0" w:right="86" w:firstLineChars="224" w:firstLine="538"/>
              <w:rPr>
                <w:rFonts w:eastAsia="宋体"/>
                <w:szCs w:val="24"/>
              </w:rPr>
            </w:pPr>
            <w:r>
              <w:rPr>
                <w:rFonts w:eastAsia="宋体"/>
                <w:szCs w:val="24"/>
              </w:rPr>
              <w:lastRenderedPageBreak/>
              <w:t xml:space="preserve">(1) </w:t>
            </w:r>
            <w:r>
              <w:rPr>
                <w:rFonts w:eastAsia="宋体"/>
                <w:szCs w:val="24"/>
              </w:rPr>
              <w:t>补充调研和查新文献，完成催化剂设计和制备、催化</w:t>
            </w:r>
            <w:r>
              <w:rPr>
                <w:rFonts w:eastAsia="宋体"/>
                <w:szCs w:val="24"/>
              </w:rPr>
              <w:t>HDO</w:t>
            </w:r>
            <w:r>
              <w:rPr>
                <w:rFonts w:eastAsia="宋体"/>
                <w:szCs w:val="24"/>
              </w:rPr>
              <w:t>反应的基础理论研究；</w:t>
            </w:r>
          </w:p>
          <w:p w:rsidR="00961785" w:rsidRDefault="00056610" w:rsidP="00922885">
            <w:pPr>
              <w:pStyle w:val="duanluo"/>
              <w:spacing w:line="336" w:lineRule="auto"/>
              <w:ind w:leftChars="0" w:left="0" w:right="86" w:firstLineChars="224" w:firstLine="538"/>
              <w:rPr>
                <w:rFonts w:eastAsia="宋体"/>
                <w:szCs w:val="24"/>
              </w:rPr>
            </w:pPr>
            <w:r>
              <w:rPr>
                <w:rFonts w:eastAsia="宋体"/>
                <w:szCs w:val="24"/>
              </w:rPr>
              <w:t xml:space="preserve">(2) </w:t>
            </w:r>
            <w:r>
              <w:rPr>
                <w:rFonts w:eastAsia="宋体"/>
                <w:szCs w:val="24"/>
              </w:rPr>
              <w:t>制备得到</w:t>
            </w:r>
            <w:r>
              <w:rPr>
                <w:rFonts w:eastAsia="宋体"/>
                <w:szCs w:val="24"/>
              </w:rPr>
              <w:t>Worm-Like</w:t>
            </w:r>
            <w:r>
              <w:rPr>
                <w:rFonts w:eastAsia="宋体"/>
                <w:szCs w:val="24"/>
              </w:rPr>
              <w:t>二硫化钼催化剂及表征测试分析。</w:t>
            </w:r>
          </w:p>
          <w:p w:rsidR="00961785" w:rsidRDefault="00056610" w:rsidP="00922885">
            <w:pPr>
              <w:spacing w:line="336" w:lineRule="auto"/>
              <w:ind w:rightChars="41" w:right="86" w:firstLineChars="224" w:firstLine="540"/>
              <w:rPr>
                <w:rFonts w:eastAsia="FangSong"/>
                <w:b/>
                <w:sz w:val="24"/>
                <w:szCs w:val="24"/>
              </w:rPr>
            </w:pPr>
            <w:r>
              <w:rPr>
                <w:rFonts w:eastAsia="FangSong"/>
                <w:b/>
                <w:sz w:val="24"/>
                <w:szCs w:val="24"/>
              </w:rPr>
              <w:t>2020</w:t>
            </w:r>
            <w:r>
              <w:rPr>
                <w:rFonts w:eastAsia="FangSong"/>
                <w:b/>
                <w:sz w:val="24"/>
                <w:szCs w:val="24"/>
              </w:rPr>
              <w:t>年</w:t>
            </w:r>
            <w:r>
              <w:rPr>
                <w:rFonts w:eastAsia="FangSong"/>
                <w:b/>
                <w:sz w:val="24"/>
                <w:szCs w:val="24"/>
              </w:rPr>
              <w:t>06</w:t>
            </w:r>
            <w:r>
              <w:rPr>
                <w:rFonts w:eastAsia="FangSong"/>
                <w:b/>
                <w:sz w:val="24"/>
                <w:szCs w:val="24"/>
              </w:rPr>
              <w:t>月</w:t>
            </w:r>
            <w:r>
              <w:rPr>
                <w:rFonts w:eastAsia="FangSong"/>
                <w:b/>
                <w:sz w:val="24"/>
                <w:szCs w:val="24"/>
              </w:rPr>
              <w:t>——2021</w:t>
            </w:r>
            <w:r>
              <w:rPr>
                <w:rFonts w:eastAsia="FangSong"/>
                <w:b/>
                <w:sz w:val="24"/>
                <w:szCs w:val="24"/>
              </w:rPr>
              <w:t>年</w:t>
            </w:r>
            <w:r>
              <w:rPr>
                <w:rFonts w:eastAsia="FangSong"/>
                <w:b/>
                <w:sz w:val="24"/>
                <w:szCs w:val="24"/>
              </w:rPr>
              <w:t>05</w:t>
            </w:r>
            <w:r>
              <w:rPr>
                <w:rFonts w:eastAsia="FangSong"/>
                <w:b/>
                <w:sz w:val="24"/>
                <w:szCs w:val="24"/>
              </w:rPr>
              <w:t>月（第二年度）</w:t>
            </w:r>
          </w:p>
          <w:p w:rsidR="00961785" w:rsidRDefault="00056610">
            <w:pPr>
              <w:pStyle w:val="duanluo"/>
              <w:ind w:left="86" w:rightChars="0" w:right="0" w:firstLine="480"/>
              <w:jc w:val="left"/>
              <w:rPr>
                <w:rFonts w:eastAsia="宋体"/>
                <w:szCs w:val="24"/>
              </w:rPr>
            </w:pPr>
            <w:r>
              <w:rPr>
                <w:rFonts w:eastAsia="宋体"/>
                <w:szCs w:val="24"/>
              </w:rPr>
              <w:t xml:space="preserve">(1) </w:t>
            </w:r>
            <w:r>
              <w:rPr>
                <w:rFonts w:eastAsia="宋体"/>
                <w:szCs w:val="24"/>
              </w:rPr>
              <w:t>测试所制的催化剂的</w:t>
            </w:r>
            <w:r>
              <w:rPr>
                <w:rFonts w:eastAsia="宋体"/>
                <w:szCs w:val="24"/>
              </w:rPr>
              <w:t>HDO</w:t>
            </w:r>
            <w:r>
              <w:rPr>
                <w:rFonts w:eastAsia="宋体"/>
                <w:szCs w:val="24"/>
              </w:rPr>
              <w:t>活性；</w:t>
            </w:r>
          </w:p>
          <w:p w:rsidR="00961785" w:rsidRDefault="00056610" w:rsidP="00922885">
            <w:pPr>
              <w:tabs>
                <w:tab w:val="left" w:pos="792"/>
                <w:tab w:val="left" w:pos="972"/>
              </w:tabs>
              <w:spacing w:line="336" w:lineRule="auto"/>
              <w:ind w:rightChars="41" w:right="86" w:firstLineChars="224" w:firstLine="538"/>
              <w:rPr>
                <w:b/>
                <w:bCs/>
                <w:sz w:val="24"/>
                <w:szCs w:val="24"/>
              </w:rPr>
            </w:pPr>
            <w:r>
              <w:rPr>
                <w:sz w:val="24"/>
                <w:szCs w:val="24"/>
              </w:rPr>
              <w:t xml:space="preserve">(2) </w:t>
            </w:r>
            <w:r>
              <w:rPr>
                <w:sz w:val="24"/>
                <w:szCs w:val="24"/>
              </w:rPr>
              <w:t>整理数据，撰写和发表研究论文，项目结题验收。</w:t>
            </w:r>
          </w:p>
          <w:p w:rsidR="00961785" w:rsidRPr="00922885" w:rsidRDefault="00056610" w:rsidP="00922885">
            <w:pPr>
              <w:numPr>
                <w:ilvl w:val="0"/>
                <w:numId w:val="3"/>
              </w:numPr>
              <w:tabs>
                <w:tab w:val="clear" w:pos="972"/>
              </w:tabs>
              <w:snapToGrid w:val="0"/>
              <w:spacing w:beforeLines="150" w:before="468" w:afterLines="50" w:after="156" w:line="300" w:lineRule="auto"/>
              <w:ind w:left="885" w:hanging="885"/>
              <w:rPr>
                <w:rFonts w:ascii="黑体" w:eastAsia="黑体" w:hAnsi="黑体"/>
                <w:b/>
                <w:bCs/>
                <w:sz w:val="28"/>
                <w:szCs w:val="28"/>
              </w:rPr>
            </w:pPr>
            <w:r w:rsidRPr="00922885">
              <w:rPr>
                <w:rFonts w:ascii="黑体" w:eastAsia="黑体" w:hAnsi="黑体"/>
                <w:b/>
                <w:bCs/>
                <w:sz w:val="28"/>
                <w:szCs w:val="28"/>
              </w:rPr>
              <w:t>已有基础</w:t>
            </w:r>
          </w:p>
          <w:p w:rsidR="00961785" w:rsidRDefault="00056610" w:rsidP="00922885">
            <w:pPr>
              <w:numPr>
                <w:ilvl w:val="1"/>
                <w:numId w:val="3"/>
              </w:numPr>
              <w:spacing w:line="336" w:lineRule="auto"/>
              <w:ind w:left="0" w:rightChars="41" w:right="86" w:firstLineChars="224" w:firstLine="540"/>
              <w:rPr>
                <w:rFonts w:eastAsia="仿宋_GB2312"/>
                <w:b/>
                <w:bCs/>
                <w:sz w:val="24"/>
              </w:rPr>
            </w:pPr>
            <w:r>
              <w:rPr>
                <w:rFonts w:eastAsia="仿宋_GB2312"/>
                <w:b/>
                <w:sz w:val="24"/>
              </w:rPr>
              <w:t>与本项目有关的研究积累和已取得的成绩</w:t>
            </w:r>
          </w:p>
          <w:p w:rsidR="00961785" w:rsidRDefault="00056610" w:rsidP="00922885">
            <w:pPr>
              <w:spacing w:line="336" w:lineRule="auto"/>
              <w:ind w:rightChars="41" w:right="86" w:firstLineChars="224" w:firstLine="538"/>
              <w:rPr>
                <w:sz w:val="24"/>
                <w:szCs w:val="24"/>
              </w:rPr>
            </w:pPr>
            <w:r>
              <w:rPr>
                <w:sz w:val="24"/>
                <w:szCs w:val="24"/>
              </w:rPr>
              <w:t>项目负责人于</w:t>
            </w:r>
            <w:r>
              <w:rPr>
                <w:sz w:val="24"/>
                <w:szCs w:val="24"/>
              </w:rPr>
              <w:t>2018</w:t>
            </w:r>
            <w:r>
              <w:rPr>
                <w:sz w:val="24"/>
                <w:szCs w:val="24"/>
              </w:rPr>
              <w:t>年初进入课题组进行生物油加氢脱氧催化剂的合成研究工作，在硫化物加氢脱氧催化剂研究方面积累了丰富的催化剂的制备策略知识和实验操作技能。其与课题组研究生合作开展</w:t>
            </w:r>
            <w:r>
              <w:rPr>
                <w:rFonts w:hint="eastAsia"/>
                <w:sz w:val="24"/>
                <w:szCs w:val="24"/>
              </w:rPr>
              <w:t>了</w:t>
            </w:r>
            <w:r>
              <w:rPr>
                <w:sz w:val="24"/>
                <w:szCs w:val="24"/>
              </w:rPr>
              <w:t>Fe</w:t>
            </w:r>
            <w:r>
              <w:rPr>
                <w:sz w:val="24"/>
                <w:szCs w:val="24"/>
              </w:rPr>
              <w:t>助剂对</w:t>
            </w:r>
            <w:r>
              <w:rPr>
                <w:sz w:val="24"/>
                <w:szCs w:val="24"/>
              </w:rPr>
              <w:t>MoS</w:t>
            </w:r>
            <w:r>
              <w:rPr>
                <w:sz w:val="24"/>
                <w:szCs w:val="24"/>
                <w:vertAlign w:val="subscript"/>
              </w:rPr>
              <w:t>2</w:t>
            </w:r>
            <w:r>
              <w:rPr>
                <w:sz w:val="24"/>
                <w:szCs w:val="24"/>
              </w:rPr>
              <w:t>加氢脱氧活性影响研究</w:t>
            </w:r>
            <w:r>
              <w:rPr>
                <w:rFonts w:hint="eastAsia"/>
                <w:sz w:val="24"/>
                <w:szCs w:val="24"/>
              </w:rPr>
              <w:t>工作，阶段性成果已经在</w:t>
            </w:r>
            <w:r>
              <w:rPr>
                <w:rFonts w:hint="eastAsia"/>
                <w:sz w:val="24"/>
              </w:rPr>
              <w:t>国际</w:t>
            </w:r>
            <w:r>
              <w:rPr>
                <w:rFonts w:hint="eastAsia"/>
                <w:sz w:val="24"/>
              </w:rPr>
              <w:t>SCI</w:t>
            </w:r>
            <w:r>
              <w:rPr>
                <w:rFonts w:hint="eastAsia"/>
                <w:sz w:val="24"/>
              </w:rPr>
              <w:t>期刊发表研究论文</w:t>
            </w:r>
            <w:r>
              <w:rPr>
                <w:rFonts w:hint="eastAsia"/>
                <w:sz w:val="24"/>
              </w:rPr>
              <w:t>1</w:t>
            </w:r>
            <w:r>
              <w:rPr>
                <w:rFonts w:hint="eastAsia"/>
                <w:sz w:val="24"/>
              </w:rPr>
              <w:t>篇</w:t>
            </w:r>
            <w:r>
              <w:t xml:space="preserve"> </w:t>
            </w:r>
            <w:r>
              <w:rPr>
                <w:rFonts w:hint="eastAsia"/>
                <w:sz w:val="24"/>
                <w:szCs w:val="24"/>
              </w:rPr>
              <w:t>(</w:t>
            </w:r>
            <w:r>
              <w:rPr>
                <w:sz w:val="24"/>
                <w:szCs w:val="24"/>
              </w:rPr>
              <w:t>Preparation of Fe promoted MoS</w:t>
            </w:r>
            <w:r>
              <w:rPr>
                <w:sz w:val="24"/>
                <w:szCs w:val="24"/>
                <w:vertAlign w:val="subscript"/>
              </w:rPr>
              <w:t>2</w:t>
            </w:r>
            <w:r>
              <w:rPr>
                <w:sz w:val="24"/>
                <w:szCs w:val="24"/>
              </w:rPr>
              <w:t xml:space="preserve"> catalysts for the hydrodeoxygenation of p-cresol as a model compound of lignin-derived bio-oil, </w:t>
            </w:r>
            <w:r>
              <w:rPr>
                <w:b/>
                <w:bCs/>
                <w:i/>
                <w:iCs/>
                <w:sz w:val="24"/>
                <w:szCs w:val="24"/>
              </w:rPr>
              <w:t>Biomass and Bioenergy</w:t>
            </w:r>
            <w:r>
              <w:rPr>
                <w:sz w:val="24"/>
                <w:szCs w:val="24"/>
              </w:rPr>
              <w:t>, 2019</w:t>
            </w:r>
            <w:r>
              <w:rPr>
                <w:rFonts w:hint="eastAsia"/>
                <w:sz w:val="24"/>
                <w:szCs w:val="24"/>
              </w:rPr>
              <w:t xml:space="preserve">, </w:t>
            </w:r>
            <w:r>
              <w:rPr>
                <w:sz w:val="24"/>
                <w:szCs w:val="24"/>
              </w:rPr>
              <w:t>125: 34–40</w:t>
            </w:r>
            <w:r>
              <w:rPr>
                <w:rFonts w:hint="eastAsia"/>
                <w:sz w:val="24"/>
                <w:szCs w:val="24"/>
              </w:rPr>
              <w:t>)</w:t>
            </w:r>
            <w:r>
              <w:rPr>
                <w:sz w:val="24"/>
                <w:szCs w:val="24"/>
              </w:rPr>
              <w:t>；针对水在催化反应中会导致硫化物催化剂失活而提出和制备的疏水性</w:t>
            </w:r>
            <w:r>
              <w:rPr>
                <w:sz w:val="24"/>
                <w:szCs w:val="24"/>
              </w:rPr>
              <w:t>Ni-Mo-S</w:t>
            </w:r>
            <w:r>
              <w:rPr>
                <w:sz w:val="24"/>
                <w:szCs w:val="24"/>
              </w:rPr>
              <w:t>催化剂，在抗失活方面具有一定优越性，合作撰写的文章正在投稿中。</w:t>
            </w:r>
          </w:p>
          <w:p w:rsidR="00961785" w:rsidRDefault="00056610" w:rsidP="00922885">
            <w:pPr>
              <w:numPr>
                <w:ilvl w:val="1"/>
                <w:numId w:val="3"/>
              </w:numPr>
              <w:spacing w:line="336" w:lineRule="auto"/>
              <w:ind w:left="0" w:rightChars="41" w:right="86" w:firstLineChars="224" w:firstLine="540"/>
              <w:rPr>
                <w:rFonts w:eastAsia="仿宋_GB2312"/>
                <w:b/>
                <w:bCs/>
                <w:sz w:val="24"/>
              </w:rPr>
            </w:pPr>
            <w:r>
              <w:rPr>
                <w:rFonts w:eastAsia="仿宋_GB2312"/>
                <w:b/>
                <w:sz w:val="24"/>
              </w:rPr>
              <w:t>已具备的条件，尚缺少的条件及解决方法</w:t>
            </w:r>
          </w:p>
          <w:p w:rsidR="00961785" w:rsidRDefault="00056610" w:rsidP="00922885">
            <w:pPr>
              <w:spacing w:line="336" w:lineRule="auto"/>
              <w:ind w:rightChars="41" w:right="86" w:firstLineChars="224" w:firstLine="538"/>
              <w:rPr>
                <w:sz w:val="24"/>
                <w:szCs w:val="24"/>
              </w:rPr>
            </w:pPr>
            <w:r>
              <w:rPr>
                <w:sz w:val="24"/>
                <w:szCs w:val="24"/>
              </w:rPr>
              <w:t>本课题</w:t>
            </w:r>
            <w:r>
              <w:rPr>
                <w:rFonts w:hint="eastAsia"/>
                <w:sz w:val="24"/>
                <w:szCs w:val="24"/>
              </w:rPr>
              <w:t>指导教师</w:t>
            </w:r>
            <w:r>
              <w:rPr>
                <w:sz w:val="24"/>
                <w:szCs w:val="24"/>
              </w:rPr>
              <w:t>多年来一直致力于能源</w:t>
            </w:r>
            <w:r>
              <w:rPr>
                <w:rFonts w:hint="eastAsia"/>
                <w:sz w:val="24"/>
                <w:szCs w:val="24"/>
              </w:rPr>
              <w:t>化工</w:t>
            </w:r>
            <w:r>
              <w:rPr>
                <w:sz w:val="24"/>
                <w:szCs w:val="24"/>
              </w:rPr>
              <w:t>领域的技术研究工作，</w:t>
            </w:r>
            <w:r>
              <w:rPr>
                <w:rFonts w:hint="eastAsia"/>
                <w:sz w:val="24"/>
                <w:szCs w:val="24"/>
              </w:rPr>
              <w:t>所在平台</w:t>
            </w:r>
            <w:r>
              <w:rPr>
                <w:sz w:val="24"/>
                <w:szCs w:val="24"/>
              </w:rPr>
              <w:t>各种常规实验仪器、装置齐备，分析测试手段先进、便利。目前，</w:t>
            </w:r>
            <w:r>
              <w:rPr>
                <w:rFonts w:hint="eastAsia"/>
                <w:sz w:val="24"/>
                <w:szCs w:val="24"/>
              </w:rPr>
              <w:t>；平台</w:t>
            </w:r>
            <w:r>
              <w:rPr>
                <w:sz w:val="24"/>
                <w:szCs w:val="24"/>
              </w:rPr>
              <w:t>拥有与本项目研究相关的</w:t>
            </w:r>
            <w:r>
              <w:rPr>
                <w:sz w:val="24"/>
                <w:szCs w:val="24"/>
              </w:rPr>
              <w:t>D/max2550 18KW</w:t>
            </w:r>
            <w:r>
              <w:rPr>
                <w:sz w:val="24"/>
                <w:szCs w:val="24"/>
              </w:rPr>
              <w:t>转靶</w:t>
            </w:r>
            <w:r>
              <w:rPr>
                <w:sz w:val="24"/>
                <w:szCs w:val="24"/>
              </w:rPr>
              <w:t>X</w:t>
            </w:r>
            <w:r>
              <w:rPr>
                <w:sz w:val="24"/>
                <w:szCs w:val="24"/>
              </w:rPr>
              <w:t>射线衍射仪、</w:t>
            </w:r>
            <w:r>
              <w:rPr>
                <w:sz w:val="24"/>
                <w:szCs w:val="24"/>
              </w:rPr>
              <w:t>BET–3000</w:t>
            </w:r>
            <w:r>
              <w:rPr>
                <w:sz w:val="24"/>
                <w:szCs w:val="24"/>
              </w:rPr>
              <w:t>物理吸附测定仪、</w:t>
            </w:r>
            <w:r>
              <w:rPr>
                <w:sz w:val="24"/>
                <w:szCs w:val="24"/>
              </w:rPr>
              <w:t>Micromeritics ASAP 2020</w:t>
            </w:r>
            <w:r>
              <w:rPr>
                <w:sz w:val="24"/>
                <w:szCs w:val="24"/>
              </w:rPr>
              <w:t>化学吸附仪、</w:t>
            </w:r>
            <w:r>
              <w:rPr>
                <w:sz w:val="24"/>
                <w:szCs w:val="24"/>
              </w:rPr>
              <w:t>DT–40</w:t>
            </w:r>
            <w:r>
              <w:rPr>
                <w:sz w:val="24"/>
                <w:szCs w:val="24"/>
              </w:rPr>
              <w:t>差热分析仪</w:t>
            </w:r>
            <w:r>
              <w:rPr>
                <w:rFonts w:hint="eastAsia"/>
                <w:sz w:val="24"/>
                <w:szCs w:val="24"/>
              </w:rPr>
              <w:t>、</w:t>
            </w:r>
            <w:r>
              <w:rPr>
                <w:sz w:val="24"/>
                <w:szCs w:val="24"/>
              </w:rPr>
              <w:t>AAS-ZA3000</w:t>
            </w:r>
            <w:r>
              <w:rPr>
                <w:sz w:val="24"/>
                <w:szCs w:val="24"/>
              </w:rPr>
              <w:t>型原子吸收光谱仪、</w:t>
            </w:r>
            <w:r>
              <w:rPr>
                <w:sz w:val="24"/>
                <w:szCs w:val="24"/>
              </w:rPr>
              <w:t>CHI660e</w:t>
            </w:r>
            <w:r>
              <w:rPr>
                <w:sz w:val="24"/>
                <w:szCs w:val="24"/>
              </w:rPr>
              <w:t>电化学工作站、</w:t>
            </w:r>
            <w:r>
              <w:rPr>
                <w:sz w:val="24"/>
                <w:szCs w:val="24"/>
              </w:rPr>
              <w:t>Nicolet 6700</w:t>
            </w:r>
            <w:r>
              <w:rPr>
                <w:sz w:val="24"/>
                <w:szCs w:val="24"/>
              </w:rPr>
              <w:t>原位漫反射红外光谱仪等多种大型先进分析测试仪器与装置可供本课题研究利用。此外，本课题组还拥有完备的微波反应仪、水热反应釜，拥有微型计算机工作站及相关的模拟计算软件</w:t>
            </w:r>
            <w:r>
              <w:rPr>
                <w:sz w:val="24"/>
                <w:szCs w:val="24"/>
              </w:rPr>
              <w:t>CFD</w:t>
            </w:r>
            <w:r>
              <w:rPr>
                <w:sz w:val="24"/>
                <w:szCs w:val="24"/>
              </w:rPr>
              <w:t>、</w:t>
            </w:r>
            <w:r>
              <w:rPr>
                <w:sz w:val="24"/>
                <w:szCs w:val="24"/>
              </w:rPr>
              <w:t>DFT</w:t>
            </w:r>
            <w:r>
              <w:rPr>
                <w:sz w:val="24"/>
                <w:szCs w:val="24"/>
              </w:rPr>
              <w:t>、</w:t>
            </w:r>
            <w:r>
              <w:rPr>
                <w:sz w:val="24"/>
                <w:szCs w:val="24"/>
              </w:rPr>
              <w:t>Matlab/PRO–II</w:t>
            </w:r>
            <w:r>
              <w:rPr>
                <w:sz w:val="24"/>
                <w:szCs w:val="24"/>
              </w:rPr>
              <w:t>等，实验用房较充裕，这些齐备的实验条件将为本项目的顺利进行提供坚实的基础保障。</w:t>
            </w:r>
          </w:p>
          <w:p w:rsidR="00961785" w:rsidRDefault="00961785" w:rsidP="00922885">
            <w:pPr>
              <w:snapToGrid w:val="0"/>
              <w:ind w:firstLineChars="236" w:firstLine="566"/>
              <w:rPr>
                <w:sz w:val="24"/>
                <w:szCs w:val="24"/>
              </w:rPr>
            </w:pPr>
          </w:p>
          <w:p w:rsidR="00961785" w:rsidRDefault="00961785">
            <w:pPr>
              <w:spacing w:line="300" w:lineRule="auto"/>
              <w:ind w:firstLineChars="236" w:firstLine="566"/>
              <w:rPr>
                <w:sz w:val="24"/>
                <w:szCs w:val="24"/>
              </w:rPr>
            </w:pPr>
          </w:p>
          <w:p w:rsidR="00961785" w:rsidRDefault="00961785">
            <w:pPr>
              <w:spacing w:line="300" w:lineRule="auto"/>
              <w:ind w:firstLineChars="236" w:firstLine="566"/>
              <w:rPr>
                <w:sz w:val="24"/>
                <w:szCs w:val="24"/>
              </w:rPr>
            </w:pPr>
          </w:p>
        </w:tc>
      </w:tr>
    </w:tbl>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lastRenderedPageBreak/>
        <w:t>经费预算</w:t>
      </w:r>
    </w:p>
    <w:tbl>
      <w:tblPr>
        <w:tblW w:w="8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1087"/>
        <w:gridCol w:w="2174"/>
        <w:gridCol w:w="1417"/>
        <w:gridCol w:w="1333"/>
      </w:tblGrid>
      <w:tr w:rsidR="00961785" w:rsidTr="00922885">
        <w:trPr>
          <w:cantSplit/>
          <w:trHeight w:val="482"/>
          <w:jc w:val="center"/>
        </w:trPr>
        <w:tc>
          <w:tcPr>
            <w:tcW w:w="2730" w:type="dxa"/>
            <w:vMerge w:val="restart"/>
            <w:tcBorders>
              <w:top w:val="single" w:sz="4" w:space="0" w:color="auto"/>
              <w:left w:val="single" w:sz="6" w:space="0" w:color="auto"/>
              <w:right w:val="single" w:sz="4" w:space="0" w:color="auto"/>
            </w:tcBorders>
            <w:vAlign w:val="center"/>
          </w:tcPr>
          <w:p w:rsidR="00961785" w:rsidRDefault="00056610">
            <w:pPr>
              <w:jc w:val="center"/>
              <w:rPr>
                <w:b/>
                <w:bCs/>
              </w:rPr>
            </w:pPr>
            <w:r>
              <w:lastRenderedPageBreak/>
              <w:t>开支科目</w:t>
            </w:r>
            <w:r>
              <w:t xml:space="preserve">                    </w:t>
            </w:r>
          </w:p>
        </w:tc>
        <w:tc>
          <w:tcPr>
            <w:tcW w:w="1087" w:type="dxa"/>
            <w:vMerge w:val="restart"/>
            <w:tcBorders>
              <w:top w:val="single" w:sz="4" w:space="0" w:color="auto"/>
              <w:left w:val="single" w:sz="4" w:space="0" w:color="auto"/>
              <w:right w:val="single" w:sz="4" w:space="0" w:color="auto"/>
            </w:tcBorders>
            <w:vAlign w:val="center"/>
          </w:tcPr>
          <w:p w:rsidR="00961785" w:rsidRDefault="00056610">
            <w:pPr>
              <w:jc w:val="center"/>
            </w:pPr>
            <w:r>
              <w:t>预算经费</w:t>
            </w:r>
          </w:p>
          <w:p w:rsidR="00961785" w:rsidRDefault="00056610">
            <w:pPr>
              <w:jc w:val="center"/>
              <w:rPr>
                <w:b/>
                <w:bCs/>
              </w:rPr>
            </w:pPr>
            <w:r>
              <w:t>（元）</w:t>
            </w:r>
          </w:p>
        </w:tc>
        <w:tc>
          <w:tcPr>
            <w:tcW w:w="2174" w:type="dxa"/>
            <w:vMerge w:val="restart"/>
            <w:tcBorders>
              <w:top w:val="single" w:sz="4" w:space="0" w:color="auto"/>
              <w:left w:val="single" w:sz="4" w:space="0" w:color="auto"/>
              <w:right w:val="single" w:sz="4" w:space="0" w:color="auto"/>
            </w:tcBorders>
            <w:vAlign w:val="center"/>
          </w:tcPr>
          <w:p w:rsidR="00961785" w:rsidRDefault="00056610">
            <w:pPr>
              <w:jc w:val="center"/>
              <w:rPr>
                <w:b/>
                <w:bCs/>
              </w:rPr>
            </w:pPr>
            <w:r>
              <w:t>主要用途</w:t>
            </w:r>
            <w:r>
              <w:t xml:space="preserve">       </w:t>
            </w:r>
          </w:p>
        </w:tc>
        <w:tc>
          <w:tcPr>
            <w:tcW w:w="2750" w:type="dxa"/>
            <w:gridSpan w:val="2"/>
            <w:tcBorders>
              <w:top w:val="single" w:sz="4" w:space="0" w:color="auto"/>
              <w:left w:val="single" w:sz="4" w:space="0" w:color="auto"/>
              <w:bottom w:val="single" w:sz="4" w:space="0" w:color="auto"/>
              <w:right w:val="single" w:sz="4" w:space="0" w:color="auto"/>
            </w:tcBorders>
            <w:vAlign w:val="center"/>
          </w:tcPr>
          <w:p w:rsidR="00961785" w:rsidRDefault="00056610">
            <w:pPr>
              <w:jc w:val="center"/>
              <w:rPr>
                <w:b/>
                <w:bCs/>
              </w:rPr>
            </w:pPr>
            <w:r>
              <w:t>阶段下达经费计划（元）</w:t>
            </w:r>
          </w:p>
        </w:tc>
      </w:tr>
      <w:tr w:rsidR="00961785" w:rsidTr="00922885">
        <w:trPr>
          <w:cantSplit/>
          <w:trHeight w:val="482"/>
          <w:jc w:val="center"/>
        </w:trPr>
        <w:tc>
          <w:tcPr>
            <w:tcW w:w="2730" w:type="dxa"/>
            <w:vMerge/>
            <w:tcBorders>
              <w:left w:val="single" w:sz="6" w:space="0" w:color="auto"/>
              <w:bottom w:val="single" w:sz="4" w:space="0" w:color="auto"/>
              <w:right w:val="single" w:sz="4" w:space="0" w:color="auto"/>
            </w:tcBorders>
            <w:vAlign w:val="center"/>
          </w:tcPr>
          <w:p w:rsidR="00961785" w:rsidRDefault="00961785">
            <w:pPr>
              <w:jc w:val="center"/>
            </w:pPr>
          </w:p>
        </w:tc>
        <w:tc>
          <w:tcPr>
            <w:tcW w:w="1087" w:type="dxa"/>
            <w:vMerge/>
            <w:tcBorders>
              <w:left w:val="single" w:sz="4" w:space="0" w:color="auto"/>
              <w:bottom w:val="single" w:sz="4" w:space="0" w:color="auto"/>
              <w:right w:val="single" w:sz="4" w:space="0" w:color="auto"/>
            </w:tcBorders>
            <w:vAlign w:val="center"/>
          </w:tcPr>
          <w:p w:rsidR="00961785" w:rsidRDefault="00961785">
            <w:pPr>
              <w:jc w:val="center"/>
            </w:pPr>
          </w:p>
        </w:tc>
        <w:tc>
          <w:tcPr>
            <w:tcW w:w="2174" w:type="dxa"/>
            <w:vMerge/>
            <w:tcBorders>
              <w:left w:val="single" w:sz="4" w:space="0" w:color="auto"/>
              <w:bottom w:val="single" w:sz="4" w:space="0" w:color="auto"/>
              <w:right w:val="single" w:sz="4" w:space="0" w:color="auto"/>
            </w:tcBorders>
            <w:vAlign w:val="center"/>
          </w:tcPr>
          <w:p w:rsidR="00961785" w:rsidRDefault="00961785">
            <w:pPr>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Default="00056610">
            <w:pPr>
              <w:jc w:val="center"/>
            </w:pPr>
            <w:r>
              <w:t>前半阶段</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Default="00056610">
            <w:pPr>
              <w:jc w:val="center"/>
            </w:pPr>
            <w:r>
              <w:t>后半阶段</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预算经费总额</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1</w:t>
            </w:r>
            <w:r w:rsidRPr="00922885">
              <w:rPr>
                <w:b/>
                <w:sz w:val="24"/>
                <w:szCs w:val="24"/>
              </w:rPr>
              <w:t>0000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试剂和表征测试</w:t>
            </w: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3000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7000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 xml:space="preserve">1. </w:t>
            </w:r>
            <w:r>
              <w:t>业务费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w:t>
            </w:r>
            <w:r>
              <w:t>1</w:t>
            </w:r>
            <w:r>
              <w:t>）计算、分析、测试费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2000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催化剂表征测试</w:t>
            </w: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600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1400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w:t>
            </w:r>
            <w:r>
              <w:t>2</w:t>
            </w:r>
            <w:r>
              <w:t>）能源动力费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w:t>
            </w:r>
            <w:r>
              <w:t>3</w:t>
            </w:r>
            <w:r>
              <w:t>）会议、差旅费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w:t>
            </w:r>
            <w:r>
              <w:t>4</w:t>
            </w:r>
            <w:r>
              <w:t>）文献检索费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w:t>
            </w:r>
            <w:r>
              <w:t>5</w:t>
            </w:r>
            <w:r>
              <w:t>）论文出版费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1000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论文</w:t>
            </w:r>
            <w:r w:rsidRPr="00922885">
              <w:rPr>
                <w:b/>
                <w:sz w:val="24"/>
                <w:szCs w:val="24"/>
              </w:rPr>
              <w:t>发表版面费</w:t>
            </w: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300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700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 xml:space="preserve">2. </w:t>
            </w:r>
            <w:r>
              <w:t>仪器设备购置费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 xml:space="preserve">3. </w:t>
            </w:r>
            <w:r>
              <w:t>实验装置试制费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b/>
                <w:sz w:val="24"/>
                <w:szCs w:val="24"/>
              </w:rPr>
              <w:t>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rsidP="00922885">
            <w:r>
              <w:t xml:space="preserve">4. </w:t>
            </w:r>
            <w:r>
              <w:t>材料费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7</w:t>
            </w:r>
            <w:r w:rsidRPr="00922885">
              <w:rPr>
                <w:b/>
                <w:sz w:val="24"/>
                <w:szCs w:val="24"/>
              </w:rPr>
              <w:t>000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056610" w:rsidP="00922885">
            <w:pPr>
              <w:jc w:val="center"/>
              <w:rPr>
                <w:b/>
                <w:sz w:val="24"/>
                <w:szCs w:val="24"/>
              </w:rPr>
            </w:pPr>
            <w:r w:rsidRPr="00922885">
              <w:rPr>
                <w:rFonts w:hint="eastAsia"/>
                <w:b/>
                <w:sz w:val="24"/>
                <w:szCs w:val="24"/>
              </w:rPr>
              <w:t>购买试剂药品</w:t>
            </w: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2100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b/>
                <w:sz w:val="24"/>
                <w:szCs w:val="24"/>
              </w:rPr>
              <w:t>4900</w:t>
            </w:r>
          </w:p>
        </w:tc>
      </w:tr>
      <w:tr w:rsidR="00961785" w:rsidTr="00922885">
        <w:trPr>
          <w:cantSplit/>
          <w:trHeight w:val="482"/>
          <w:jc w:val="center"/>
        </w:trPr>
        <w:tc>
          <w:tcPr>
            <w:tcW w:w="2730" w:type="dxa"/>
            <w:tcBorders>
              <w:top w:val="single" w:sz="4" w:space="0" w:color="auto"/>
              <w:left w:val="single" w:sz="6" w:space="0" w:color="auto"/>
              <w:bottom w:val="single" w:sz="4" w:space="0" w:color="auto"/>
              <w:right w:val="single" w:sz="4" w:space="0" w:color="auto"/>
            </w:tcBorders>
            <w:vAlign w:val="center"/>
          </w:tcPr>
          <w:p w:rsidR="00961785" w:rsidRDefault="00056610">
            <w:pPr>
              <w:jc w:val="center"/>
              <w:rPr>
                <w:rFonts w:eastAsia="仿宋_GB2312"/>
              </w:rPr>
            </w:pPr>
            <w:r>
              <w:rPr>
                <w:rFonts w:eastAsia="仿宋_GB2312"/>
              </w:rPr>
              <w:t>学校批准经费</w:t>
            </w:r>
          </w:p>
        </w:tc>
        <w:tc>
          <w:tcPr>
            <w:tcW w:w="108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rFonts w:hint="eastAsia"/>
                <w:b/>
                <w:sz w:val="24"/>
                <w:szCs w:val="24"/>
              </w:rPr>
              <w:t>1</w:t>
            </w:r>
            <w:r>
              <w:rPr>
                <w:b/>
                <w:sz w:val="24"/>
                <w:szCs w:val="24"/>
              </w:rPr>
              <w:t>0000</w:t>
            </w:r>
          </w:p>
        </w:tc>
        <w:tc>
          <w:tcPr>
            <w:tcW w:w="2174" w:type="dxa"/>
            <w:tcBorders>
              <w:top w:val="single" w:sz="4" w:space="0" w:color="auto"/>
              <w:left w:val="single" w:sz="4" w:space="0" w:color="auto"/>
              <w:bottom w:val="single" w:sz="4" w:space="0" w:color="auto"/>
              <w:right w:val="single" w:sz="4" w:space="0" w:color="auto"/>
            </w:tcBorders>
            <w:vAlign w:val="center"/>
          </w:tcPr>
          <w:p w:rsidR="00961785" w:rsidRPr="00922885" w:rsidRDefault="00961785" w:rsidP="00922885">
            <w:pPr>
              <w:jc w:val="center"/>
              <w:rPr>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rFonts w:hint="eastAsia"/>
                <w:b/>
                <w:sz w:val="24"/>
                <w:szCs w:val="24"/>
              </w:rPr>
              <w:t>3</w:t>
            </w:r>
            <w:r>
              <w:rPr>
                <w:b/>
                <w:sz w:val="24"/>
                <w:szCs w:val="24"/>
              </w:rPr>
              <w:t>000</w:t>
            </w:r>
          </w:p>
        </w:tc>
        <w:tc>
          <w:tcPr>
            <w:tcW w:w="1333" w:type="dxa"/>
            <w:tcBorders>
              <w:top w:val="single" w:sz="4" w:space="0" w:color="auto"/>
              <w:left w:val="single" w:sz="4" w:space="0" w:color="auto"/>
              <w:bottom w:val="single" w:sz="4" w:space="0" w:color="auto"/>
              <w:right w:val="single" w:sz="4" w:space="0" w:color="auto"/>
            </w:tcBorders>
            <w:vAlign w:val="center"/>
          </w:tcPr>
          <w:p w:rsidR="00961785" w:rsidRPr="00922885" w:rsidRDefault="00987E7D" w:rsidP="00922885">
            <w:pPr>
              <w:jc w:val="center"/>
              <w:rPr>
                <w:b/>
                <w:sz w:val="24"/>
                <w:szCs w:val="24"/>
              </w:rPr>
            </w:pPr>
            <w:r>
              <w:rPr>
                <w:rFonts w:hint="eastAsia"/>
                <w:b/>
                <w:sz w:val="24"/>
                <w:szCs w:val="24"/>
              </w:rPr>
              <w:t>7</w:t>
            </w:r>
            <w:r>
              <w:rPr>
                <w:b/>
                <w:sz w:val="24"/>
                <w:szCs w:val="24"/>
              </w:rPr>
              <w:t>000</w:t>
            </w:r>
          </w:p>
        </w:tc>
      </w:tr>
    </w:tbl>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t>指导教师意见</w:t>
      </w:r>
    </w:p>
    <w:tbl>
      <w:tblPr>
        <w:tblW w:w="8793"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793"/>
      </w:tblGrid>
      <w:tr w:rsidR="00961785" w:rsidTr="00922885">
        <w:trPr>
          <w:trHeight w:hRule="exact" w:val="5397"/>
          <w:jc w:val="center"/>
        </w:trPr>
        <w:tc>
          <w:tcPr>
            <w:tcW w:w="8793" w:type="dxa"/>
            <w:tcBorders>
              <w:top w:val="single" w:sz="4" w:space="0" w:color="auto"/>
              <w:left w:val="single" w:sz="4" w:space="0" w:color="auto"/>
              <w:bottom w:val="single" w:sz="4" w:space="0" w:color="auto"/>
              <w:right w:val="single" w:sz="4" w:space="0" w:color="auto"/>
            </w:tcBorders>
          </w:tcPr>
          <w:p w:rsidR="00961785" w:rsidRDefault="00056610" w:rsidP="00922885">
            <w:pPr>
              <w:autoSpaceDE w:val="0"/>
              <w:autoSpaceDN w:val="0"/>
              <w:adjustRightInd w:val="0"/>
              <w:spacing w:beforeLines="50" w:before="156" w:line="480" w:lineRule="exact"/>
              <w:ind w:firstLineChars="200" w:firstLine="480"/>
              <w:rPr>
                <w:rFonts w:ascii="宋体" w:hAnsi="宋体"/>
                <w:sz w:val="24"/>
                <w:szCs w:val="24"/>
              </w:rPr>
            </w:pPr>
            <w:r>
              <w:rPr>
                <w:rFonts w:ascii="宋体" w:hAnsi="宋体"/>
                <w:sz w:val="24"/>
                <w:szCs w:val="24"/>
              </w:rPr>
              <w:t>史茜茜等同学在充分调研文献的基础上，申请题为“高暴露Rim-Edge位MoS</w:t>
            </w:r>
            <w:r>
              <w:rPr>
                <w:rFonts w:ascii="宋体" w:hAnsi="宋体"/>
                <w:sz w:val="24"/>
                <w:szCs w:val="24"/>
                <w:vertAlign w:val="subscript"/>
              </w:rPr>
              <w:t>2</w:t>
            </w:r>
            <w:r>
              <w:rPr>
                <w:rFonts w:ascii="宋体" w:hAnsi="宋体"/>
                <w:sz w:val="24"/>
                <w:szCs w:val="24"/>
              </w:rPr>
              <w:t>的制备及其催化生物油中酚类化合物加氢脱氧性能研究”的项目，拟优化催化剂结构形貌，提高催化剂</w:t>
            </w:r>
            <w:r>
              <w:rPr>
                <w:rFonts w:ascii="宋体" w:hAnsi="宋体" w:hint="eastAsia"/>
                <w:sz w:val="24"/>
                <w:szCs w:val="24"/>
              </w:rPr>
              <w:t>有效</w:t>
            </w:r>
            <w:r>
              <w:rPr>
                <w:rFonts w:ascii="宋体" w:hAnsi="宋体"/>
                <w:sz w:val="24"/>
                <w:szCs w:val="24"/>
              </w:rPr>
              <w:t>活性位，从而提升酚类化合物在加氢脱氧过程中的脱氧速率和芳烃选择性，具有很好的创新性，项目研究目标明确，内容具体，实验方案是结合已具有的实验研究条件和前期研究基础提出的，切合实际</w:t>
            </w:r>
            <w:r>
              <w:rPr>
                <w:rFonts w:ascii="宋体" w:hAnsi="宋体" w:hint="eastAsia"/>
                <w:sz w:val="24"/>
                <w:szCs w:val="24"/>
              </w:rPr>
              <w:t>且</w:t>
            </w:r>
            <w:r>
              <w:rPr>
                <w:rFonts w:ascii="宋体" w:hAnsi="宋体"/>
                <w:sz w:val="24"/>
                <w:szCs w:val="24"/>
              </w:rPr>
              <w:t>可行，项目研究</w:t>
            </w:r>
            <w:r>
              <w:rPr>
                <w:rFonts w:ascii="宋体" w:hAnsi="宋体" w:hint="eastAsia"/>
                <w:sz w:val="24"/>
                <w:szCs w:val="24"/>
              </w:rPr>
              <w:t>计划</w:t>
            </w:r>
            <w:r>
              <w:rPr>
                <w:rFonts w:ascii="宋体" w:hAnsi="宋体"/>
                <w:sz w:val="24"/>
                <w:szCs w:val="24"/>
              </w:rPr>
              <w:t xml:space="preserve">安排合理，能顺利完成研究内容，达到预期研究目标。 </w:t>
            </w:r>
          </w:p>
          <w:p w:rsidR="00961785" w:rsidRDefault="00961785" w:rsidP="00056610">
            <w:pPr>
              <w:autoSpaceDE w:val="0"/>
              <w:autoSpaceDN w:val="0"/>
              <w:adjustRightInd w:val="0"/>
              <w:spacing w:beforeLines="50" w:before="156"/>
              <w:ind w:firstLine="482"/>
              <w:rPr>
                <w:rFonts w:eastAsia="楷体_GB2312"/>
                <w:sz w:val="24"/>
                <w:szCs w:val="24"/>
              </w:rPr>
            </w:pPr>
          </w:p>
          <w:p w:rsidR="00961785" w:rsidRDefault="00056610" w:rsidP="00056610">
            <w:pPr>
              <w:autoSpaceDE w:val="0"/>
              <w:autoSpaceDN w:val="0"/>
              <w:adjustRightInd w:val="0"/>
              <w:spacing w:beforeLines="50" w:before="156" w:line="360" w:lineRule="auto"/>
              <w:ind w:firstLine="482"/>
              <w:rPr>
                <w:rFonts w:eastAsia="KaiTi"/>
                <w:sz w:val="24"/>
              </w:rPr>
            </w:pPr>
            <w:r>
              <w:rPr>
                <w:rFonts w:eastAsia="KaiTi"/>
                <w:sz w:val="28"/>
              </w:rPr>
              <w:t xml:space="preserve">     </w:t>
            </w:r>
            <w:r>
              <w:rPr>
                <w:rFonts w:eastAsia="KaiTi"/>
                <w:sz w:val="24"/>
              </w:rPr>
              <w:t xml:space="preserve">                                  </w:t>
            </w:r>
          </w:p>
          <w:p w:rsidR="00961785" w:rsidRDefault="00056610" w:rsidP="00922885">
            <w:pPr>
              <w:spacing w:line="360" w:lineRule="auto"/>
              <w:ind w:firstLineChars="1952" w:firstLine="4685"/>
              <w:rPr>
                <w:rFonts w:eastAsia="仿宋_GB2312"/>
                <w:sz w:val="24"/>
              </w:rPr>
            </w:pPr>
            <w:r>
              <w:rPr>
                <w:rFonts w:eastAsia="仿宋_GB2312"/>
                <w:sz w:val="24"/>
              </w:rPr>
              <w:t>导师（签章）：</w:t>
            </w:r>
            <w:r>
              <w:rPr>
                <w:rFonts w:eastAsia="仿宋_GB2312" w:hint="eastAsia"/>
                <w:sz w:val="24"/>
              </w:rPr>
              <w:t xml:space="preserve"> </w:t>
            </w:r>
          </w:p>
          <w:p w:rsidR="00961785" w:rsidRDefault="00056610">
            <w:pPr>
              <w:spacing w:line="360" w:lineRule="auto"/>
              <w:ind w:firstLineChars="2401" w:firstLine="5762"/>
              <w:rPr>
                <w:rFonts w:eastAsia="仿宋_GB2312"/>
                <w:b/>
                <w:sz w:val="24"/>
              </w:rPr>
            </w:pPr>
            <w:r>
              <w:rPr>
                <w:rFonts w:eastAsia="仿宋_GB2312"/>
                <w:sz w:val="24"/>
              </w:rPr>
              <w:t>年</w:t>
            </w:r>
            <w:r>
              <w:rPr>
                <w:rFonts w:eastAsia="仿宋_GB2312" w:hint="eastAsia"/>
                <w:sz w:val="24"/>
              </w:rPr>
              <w:t xml:space="preserve">  </w:t>
            </w:r>
            <w:r>
              <w:rPr>
                <w:rFonts w:eastAsia="仿宋_GB2312"/>
                <w:sz w:val="24"/>
              </w:rPr>
              <w:t>月</w:t>
            </w:r>
            <w:r>
              <w:rPr>
                <w:rFonts w:eastAsia="仿宋_GB2312"/>
                <w:sz w:val="24"/>
              </w:rPr>
              <w:t xml:space="preserve">  </w:t>
            </w:r>
            <w:r>
              <w:rPr>
                <w:rFonts w:eastAsia="仿宋_GB2312"/>
                <w:sz w:val="24"/>
              </w:rPr>
              <w:t>日</w:t>
            </w:r>
          </w:p>
        </w:tc>
      </w:tr>
    </w:tbl>
    <w:p w:rsidR="00961785" w:rsidRDefault="00961785" w:rsidP="00922885">
      <w:pPr>
        <w:tabs>
          <w:tab w:val="left" w:pos="552"/>
          <w:tab w:val="left" w:pos="720"/>
          <w:tab w:val="left" w:pos="1544"/>
        </w:tabs>
        <w:snapToGrid w:val="0"/>
        <w:ind w:right="567"/>
        <w:rPr>
          <w:rFonts w:eastAsia="黑体"/>
          <w:bCs/>
          <w:sz w:val="28"/>
        </w:rPr>
      </w:pPr>
    </w:p>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t>院系大学生创新创业训练计划专家组意见</w:t>
      </w:r>
      <w:r>
        <w:rPr>
          <w:rFonts w:eastAsia="黑体"/>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61785" w:rsidTr="00922885">
        <w:trPr>
          <w:trHeight w:hRule="exact" w:val="3352"/>
          <w:jc w:val="center"/>
        </w:trPr>
        <w:tc>
          <w:tcPr>
            <w:tcW w:w="8505" w:type="dxa"/>
            <w:tcBorders>
              <w:top w:val="single" w:sz="4" w:space="0" w:color="auto"/>
              <w:left w:val="single" w:sz="4" w:space="0" w:color="auto"/>
              <w:bottom w:val="single" w:sz="4" w:space="0" w:color="auto"/>
              <w:right w:val="single" w:sz="4" w:space="0" w:color="auto"/>
            </w:tcBorders>
          </w:tcPr>
          <w:p w:rsidR="00961785" w:rsidRPr="00922885" w:rsidRDefault="00961785" w:rsidP="00922885">
            <w:pPr>
              <w:snapToGrid w:val="0"/>
              <w:rPr>
                <w:rFonts w:eastAsia="仿宋_GB2312"/>
                <w:sz w:val="18"/>
              </w:rPr>
            </w:pPr>
          </w:p>
          <w:p w:rsidR="00961785" w:rsidRPr="00922885" w:rsidRDefault="00961785" w:rsidP="00922885">
            <w:pPr>
              <w:snapToGrid w:val="0"/>
              <w:rPr>
                <w:rFonts w:eastAsia="仿宋_GB2312"/>
                <w:sz w:val="18"/>
              </w:rPr>
            </w:pPr>
          </w:p>
          <w:p w:rsidR="00961785" w:rsidRDefault="00961785">
            <w:pPr>
              <w:spacing w:line="360" w:lineRule="auto"/>
              <w:rPr>
                <w:rFonts w:eastAsia="仿宋_GB2312"/>
                <w:sz w:val="24"/>
              </w:rPr>
            </w:pPr>
          </w:p>
          <w:p w:rsidR="00961785" w:rsidRDefault="00056610">
            <w:pPr>
              <w:spacing w:line="360" w:lineRule="auto"/>
              <w:rPr>
                <w:rFonts w:ascii="宋体" w:hAnsi="宋体"/>
                <w:sz w:val="24"/>
              </w:rPr>
            </w:pPr>
            <w:r>
              <w:rPr>
                <w:rFonts w:eastAsia="仿宋_GB2312"/>
                <w:sz w:val="24"/>
              </w:rPr>
              <w:t xml:space="preserve">     </w:t>
            </w:r>
            <w:r w:rsidR="00987E7D">
              <w:rPr>
                <w:rFonts w:eastAsia="仿宋_GB2312"/>
                <w:sz w:val="24"/>
              </w:rPr>
              <w:t xml:space="preserve">  </w:t>
            </w:r>
            <w:r>
              <w:rPr>
                <w:rFonts w:ascii="宋体" w:hAnsi="宋体" w:hint="eastAsia"/>
                <w:sz w:val="24"/>
              </w:rPr>
              <w:t>同意推荐校级项目</w:t>
            </w:r>
            <w:r>
              <w:rPr>
                <w:rFonts w:ascii="宋体" w:hAnsi="宋体"/>
                <w:sz w:val="24"/>
              </w:rPr>
              <w:t xml:space="preserve">                             </w:t>
            </w:r>
          </w:p>
          <w:p w:rsidR="00961785" w:rsidRDefault="00961785">
            <w:pPr>
              <w:spacing w:line="360" w:lineRule="auto"/>
              <w:rPr>
                <w:rFonts w:ascii="宋体" w:hAnsi="宋体"/>
                <w:sz w:val="24"/>
              </w:rPr>
            </w:pPr>
          </w:p>
          <w:p w:rsidR="00961785" w:rsidRDefault="00961785">
            <w:pPr>
              <w:spacing w:line="360" w:lineRule="auto"/>
              <w:rPr>
                <w:rFonts w:eastAsia="仿宋_GB2312"/>
                <w:sz w:val="24"/>
              </w:rPr>
            </w:pPr>
          </w:p>
          <w:p w:rsidR="00961785" w:rsidRDefault="00056610" w:rsidP="00922885">
            <w:pPr>
              <w:spacing w:line="360" w:lineRule="auto"/>
              <w:ind w:firstLineChars="1650" w:firstLine="3975"/>
              <w:rPr>
                <w:rFonts w:eastAsia="仿宋_GB2312"/>
                <w:b/>
                <w:sz w:val="24"/>
              </w:rPr>
            </w:pPr>
            <w:r>
              <w:rPr>
                <w:rFonts w:eastAsia="仿宋_GB2312"/>
                <w:b/>
                <w:sz w:val="24"/>
              </w:rPr>
              <w:t>专家组组长（签章）：</w:t>
            </w:r>
          </w:p>
          <w:p w:rsidR="00961785" w:rsidRDefault="00056610">
            <w:pPr>
              <w:ind w:firstLineChars="2605" w:firstLine="6276"/>
              <w:rPr>
                <w:rFonts w:eastAsia="KaiTi"/>
              </w:rPr>
            </w:pPr>
            <w:r>
              <w:rPr>
                <w:rFonts w:eastAsia="仿宋_GB2312"/>
                <w:b/>
                <w:sz w:val="24"/>
              </w:rPr>
              <w:t>年</w:t>
            </w:r>
            <w:r>
              <w:rPr>
                <w:rFonts w:eastAsia="仿宋_GB2312"/>
                <w:b/>
                <w:sz w:val="24"/>
              </w:rPr>
              <w:t xml:space="preserve">  </w:t>
            </w:r>
            <w:r>
              <w:rPr>
                <w:rFonts w:eastAsia="仿宋_GB2312"/>
                <w:b/>
                <w:sz w:val="24"/>
              </w:rPr>
              <w:t>月</w:t>
            </w:r>
            <w:r>
              <w:rPr>
                <w:rFonts w:eastAsia="仿宋_GB2312"/>
                <w:b/>
                <w:sz w:val="24"/>
              </w:rPr>
              <w:t xml:space="preserve">   </w:t>
            </w:r>
            <w:r>
              <w:rPr>
                <w:rFonts w:eastAsia="仿宋_GB2312"/>
                <w:b/>
                <w:sz w:val="24"/>
              </w:rPr>
              <w:t>日</w:t>
            </w:r>
          </w:p>
        </w:tc>
      </w:tr>
    </w:tbl>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t>学校大学生创新创业训练计划专家组意见</w:t>
      </w:r>
      <w:r>
        <w:rPr>
          <w:rFonts w:eastAsia="黑体"/>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61785" w:rsidTr="00922885">
        <w:trPr>
          <w:trHeight w:hRule="exact" w:val="3853"/>
          <w:jc w:val="center"/>
        </w:trPr>
        <w:tc>
          <w:tcPr>
            <w:tcW w:w="8505" w:type="dxa"/>
            <w:tcBorders>
              <w:top w:val="single" w:sz="4" w:space="0" w:color="auto"/>
              <w:left w:val="single" w:sz="4" w:space="0" w:color="auto"/>
              <w:bottom w:val="single" w:sz="4" w:space="0" w:color="auto"/>
              <w:right w:val="single" w:sz="4" w:space="0" w:color="auto"/>
            </w:tcBorders>
          </w:tcPr>
          <w:p w:rsidR="00961785" w:rsidRPr="00922885" w:rsidRDefault="00961785" w:rsidP="00922885">
            <w:pPr>
              <w:snapToGrid w:val="0"/>
              <w:rPr>
                <w:rFonts w:eastAsia="仿宋_GB2312"/>
                <w:sz w:val="18"/>
              </w:rPr>
            </w:pPr>
          </w:p>
          <w:p w:rsidR="00961785" w:rsidRPr="00922885" w:rsidRDefault="00961785" w:rsidP="00922885">
            <w:pPr>
              <w:snapToGrid w:val="0"/>
              <w:rPr>
                <w:rFonts w:eastAsia="仿宋_GB2312"/>
                <w:sz w:val="18"/>
              </w:rPr>
            </w:pPr>
          </w:p>
          <w:p w:rsidR="00961785" w:rsidRDefault="00961785">
            <w:pPr>
              <w:spacing w:line="360" w:lineRule="auto"/>
              <w:rPr>
                <w:rFonts w:eastAsia="仿宋_GB2312"/>
                <w:sz w:val="24"/>
              </w:rPr>
            </w:pPr>
          </w:p>
          <w:p w:rsidR="00961785" w:rsidRDefault="00056610">
            <w:pPr>
              <w:spacing w:line="360" w:lineRule="auto"/>
              <w:rPr>
                <w:rFonts w:ascii="宋体" w:hAnsi="宋体"/>
                <w:sz w:val="24"/>
              </w:rPr>
            </w:pPr>
            <w:r>
              <w:rPr>
                <w:rFonts w:eastAsia="仿宋_GB2312"/>
                <w:sz w:val="24"/>
              </w:rPr>
              <w:t xml:space="preserve">       </w:t>
            </w:r>
            <w:r>
              <w:rPr>
                <w:rFonts w:ascii="宋体" w:hAnsi="宋体" w:hint="eastAsia"/>
                <w:sz w:val="24"/>
              </w:rPr>
              <w:t>同意推荐省级项目</w:t>
            </w:r>
            <w:r>
              <w:rPr>
                <w:rFonts w:ascii="宋体" w:hAnsi="宋体"/>
                <w:sz w:val="24"/>
              </w:rPr>
              <w:t xml:space="preserve">                       </w:t>
            </w:r>
          </w:p>
          <w:p w:rsidR="00961785" w:rsidRDefault="00056610">
            <w:pPr>
              <w:spacing w:line="360" w:lineRule="auto"/>
              <w:rPr>
                <w:rFonts w:eastAsia="仿宋_GB2312"/>
                <w:sz w:val="24"/>
              </w:rPr>
            </w:pPr>
            <w:r>
              <w:rPr>
                <w:rFonts w:eastAsia="仿宋_GB2312"/>
                <w:sz w:val="24"/>
              </w:rPr>
              <w:t xml:space="preserve">    </w:t>
            </w:r>
          </w:p>
          <w:p w:rsidR="00961785" w:rsidRDefault="00961785">
            <w:pPr>
              <w:spacing w:line="360" w:lineRule="auto"/>
              <w:rPr>
                <w:rFonts w:eastAsia="仿宋_GB2312"/>
                <w:sz w:val="24"/>
              </w:rPr>
            </w:pPr>
          </w:p>
          <w:p w:rsidR="00961785" w:rsidRDefault="00961785">
            <w:pPr>
              <w:spacing w:line="360" w:lineRule="auto"/>
              <w:rPr>
                <w:rFonts w:eastAsia="仿宋_GB2312"/>
                <w:sz w:val="24"/>
              </w:rPr>
            </w:pPr>
          </w:p>
          <w:p w:rsidR="00961785" w:rsidRDefault="00056610" w:rsidP="00922885">
            <w:pPr>
              <w:spacing w:line="360" w:lineRule="auto"/>
              <w:ind w:firstLineChars="1709" w:firstLine="4118"/>
              <w:rPr>
                <w:rFonts w:eastAsia="仿宋_GB2312"/>
                <w:b/>
                <w:sz w:val="24"/>
              </w:rPr>
            </w:pPr>
            <w:r>
              <w:rPr>
                <w:rFonts w:eastAsia="仿宋_GB2312"/>
                <w:b/>
                <w:sz w:val="24"/>
              </w:rPr>
              <w:t>负责人（签章）：</w:t>
            </w:r>
          </w:p>
          <w:p w:rsidR="00961785" w:rsidRDefault="00056610">
            <w:pPr>
              <w:spacing w:line="360" w:lineRule="auto"/>
              <w:ind w:firstLineChars="2495" w:firstLine="6011"/>
              <w:rPr>
                <w:rFonts w:eastAsia="仿宋_GB2312"/>
                <w:b/>
                <w:sz w:val="24"/>
              </w:rPr>
            </w:pPr>
            <w:r>
              <w:rPr>
                <w:rFonts w:eastAsia="仿宋_GB2312"/>
                <w:b/>
                <w:sz w:val="24"/>
              </w:rPr>
              <w:t>年</w:t>
            </w:r>
            <w:r>
              <w:rPr>
                <w:rFonts w:eastAsia="仿宋_GB2312"/>
                <w:b/>
                <w:sz w:val="24"/>
              </w:rPr>
              <w:t xml:space="preserve">  </w:t>
            </w:r>
            <w:r>
              <w:rPr>
                <w:rFonts w:eastAsia="仿宋_GB2312"/>
                <w:b/>
                <w:sz w:val="24"/>
              </w:rPr>
              <w:t>月</w:t>
            </w:r>
            <w:r>
              <w:rPr>
                <w:rFonts w:eastAsia="仿宋_GB2312"/>
                <w:b/>
                <w:sz w:val="24"/>
              </w:rPr>
              <w:t xml:space="preserve">   </w:t>
            </w:r>
            <w:r>
              <w:rPr>
                <w:rFonts w:eastAsia="仿宋_GB2312"/>
                <w:b/>
                <w:sz w:val="24"/>
              </w:rPr>
              <w:t>日</w:t>
            </w:r>
          </w:p>
        </w:tc>
      </w:tr>
    </w:tbl>
    <w:p w:rsidR="00961785" w:rsidRDefault="00056610" w:rsidP="00056610">
      <w:pPr>
        <w:numPr>
          <w:ilvl w:val="1"/>
          <w:numId w:val="1"/>
        </w:numPr>
        <w:tabs>
          <w:tab w:val="left" w:pos="720"/>
        </w:tabs>
        <w:spacing w:beforeLines="50" w:before="156" w:afterLines="50" w:after="156" w:line="300" w:lineRule="auto"/>
        <w:ind w:left="0" w:right="567" w:firstLine="0"/>
        <w:rPr>
          <w:rFonts w:eastAsia="黑体"/>
          <w:bCs/>
          <w:sz w:val="28"/>
        </w:rPr>
      </w:pPr>
      <w:r>
        <w:rPr>
          <w:rFonts w:eastAsia="黑体"/>
          <w:bCs/>
          <w:sz w:val="28"/>
        </w:rPr>
        <w:t>大学生创新创业训练计划领导小组审批意见</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61785" w:rsidTr="00922885">
        <w:trPr>
          <w:trHeight w:hRule="exact" w:val="3697"/>
          <w:jc w:val="center"/>
        </w:trPr>
        <w:tc>
          <w:tcPr>
            <w:tcW w:w="8505" w:type="dxa"/>
            <w:tcBorders>
              <w:top w:val="single" w:sz="4" w:space="0" w:color="auto"/>
              <w:left w:val="single" w:sz="4" w:space="0" w:color="auto"/>
              <w:bottom w:val="single" w:sz="4" w:space="0" w:color="auto"/>
              <w:right w:val="single" w:sz="4" w:space="0" w:color="auto"/>
            </w:tcBorders>
          </w:tcPr>
          <w:p w:rsidR="00961785" w:rsidRDefault="00961785">
            <w:pPr>
              <w:rPr>
                <w:rFonts w:eastAsia="仿宋_GB2312"/>
                <w:sz w:val="24"/>
              </w:rPr>
            </w:pPr>
          </w:p>
          <w:p w:rsidR="00961785" w:rsidRDefault="00961785">
            <w:pPr>
              <w:spacing w:line="360" w:lineRule="auto"/>
              <w:ind w:firstLineChars="1300" w:firstLine="3120"/>
              <w:rPr>
                <w:rFonts w:eastAsia="仿宋_GB2312"/>
                <w:sz w:val="24"/>
              </w:rPr>
            </w:pPr>
          </w:p>
          <w:p w:rsidR="00961785" w:rsidRDefault="00987E7D" w:rsidP="00987E7D">
            <w:pPr>
              <w:spacing w:line="360" w:lineRule="auto"/>
              <w:rPr>
                <w:rFonts w:ascii="宋体" w:hAnsi="宋体"/>
                <w:sz w:val="24"/>
              </w:rPr>
            </w:pPr>
            <w:r>
              <w:rPr>
                <w:rFonts w:ascii="宋体" w:hAnsi="宋体" w:hint="eastAsia"/>
                <w:sz w:val="24"/>
              </w:rPr>
              <w:t xml:space="preserve"> </w:t>
            </w:r>
            <w:r>
              <w:rPr>
                <w:rFonts w:ascii="宋体" w:hAnsi="宋体"/>
                <w:sz w:val="24"/>
              </w:rPr>
              <w:t xml:space="preserve">      </w:t>
            </w:r>
            <w:r w:rsidR="00056610">
              <w:rPr>
                <w:rFonts w:ascii="宋体" w:hAnsi="宋体" w:hint="eastAsia"/>
                <w:sz w:val="24"/>
              </w:rPr>
              <w:t>同意</w:t>
            </w:r>
          </w:p>
          <w:p w:rsidR="00961785" w:rsidRDefault="00961785">
            <w:pPr>
              <w:spacing w:line="360" w:lineRule="auto"/>
              <w:rPr>
                <w:rFonts w:eastAsia="仿宋_GB2312"/>
                <w:sz w:val="24"/>
              </w:rPr>
            </w:pPr>
          </w:p>
          <w:p w:rsidR="00961785" w:rsidRDefault="00056610">
            <w:pPr>
              <w:spacing w:line="360" w:lineRule="auto"/>
              <w:rPr>
                <w:rFonts w:eastAsia="仿宋_GB2312"/>
                <w:sz w:val="24"/>
              </w:rPr>
            </w:pPr>
            <w:r>
              <w:rPr>
                <w:rFonts w:eastAsia="仿宋_GB2312"/>
                <w:sz w:val="24"/>
              </w:rPr>
              <w:t xml:space="preserve">                                    </w:t>
            </w:r>
          </w:p>
          <w:p w:rsidR="00961785" w:rsidRDefault="00961785">
            <w:pPr>
              <w:spacing w:line="360" w:lineRule="auto"/>
              <w:rPr>
                <w:rFonts w:eastAsia="仿宋_GB2312"/>
                <w:sz w:val="24"/>
              </w:rPr>
            </w:pPr>
          </w:p>
          <w:p w:rsidR="00961785" w:rsidRDefault="00056610" w:rsidP="00922885">
            <w:pPr>
              <w:spacing w:line="360" w:lineRule="auto"/>
              <w:ind w:firstLineChars="1768" w:firstLine="4260"/>
              <w:rPr>
                <w:rFonts w:eastAsia="仿宋_GB2312"/>
                <w:b/>
                <w:sz w:val="24"/>
              </w:rPr>
            </w:pPr>
            <w:r>
              <w:rPr>
                <w:rFonts w:eastAsia="仿宋_GB2312"/>
                <w:b/>
                <w:sz w:val="24"/>
              </w:rPr>
              <w:t>负责人（签章）：</w:t>
            </w:r>
          </w:p>
          <w:p w:rsidR="00961785" w:rsidRDefault="00056610">
            <w:pPr>
              <w:spacing w:line="360" w:lineRule="auto"/>
              <w:ind w:firstLineChars="2552" w:firstLine="6149"/>
              <w:rPr>
                <w:rFonts w:eastAsia="仿宋_GB2312"/>
                <w:b/>
                <w:sz w:val="24"/>
              </w:rPr>
            </w:pPr>
            <w:r>
              <w:rPr>
                <w:rFonts w:eastAsia="仿宋_GB2312"/>
                <w:b/>
                <w:sz w:val="24"/>
              </w:rPr>
              <w:t>年</w:t>
            </w:r>
            <w:r>
              <w:rPr>
                <w:rFonts w:eastAsia="仿宋_GB2312"/>
                <w:b/>
                <w:sz w:val="24"/>
              </w:rPr>
              <w:t xml:space="preserve">  </w:t>
            </w:r>
            <w:r>
              <w:rPr>
                <w:rFonts w:eastAsia="仿宋_GB2312"/>
                <w:b/>
                <w:sz w:val="24"/>
              </w:rPr>
              <w:t>月</w:t>
            </w:r>
            <w:r>
              <w:rPr>
                <w:rFonts w:eastAsia="仿宋_GB2312"/>
                <w:b/>
                <w:sz w:val="24"/>
              </w:rPr>
              <w:t xml:space="preserve">   </w:t>
            </w:r>
            <w:r>
              <w:rPr>
                <w:rFonts w:eastAsia="仿宋_GB2312"/>
                <w:b/>
                <w:sz w:val="24"/>
              </w:rPr>
              <w:t>日</w:t>
            </w:r>
          </w:p>
        </w:tc>
      </w:tr>
    </w:tbl>
    <w:p w:rsidR="00961785" w:rsidRDefault="00961785"/>
    <w:sectPr w:rsidR="00961785" w:rsidSect="00056610">
      <w:footerReference w:type="default" r:id="rId1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6C37" w:rsidRDefault="00B46C37" w:rsidP="00056610">
      <w:r>
        <w:separator/>
      </w:r>
    </w:p>
  </w:endnote>
  <w:endnote w:type="continuationSeparator" w:id="0">
    <w:p w:rsidR="00B46C37" w:rsidRDefault="00B46C37" w:rsidP="00056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仿宋_GB2312">
    <w:panose1 w:val="02010609030101010101"/>
    <w:charset w:val="86"/>
    <w:family w:val="modern"/>
    <w:pitch w:val="fixed"/>
    <w:sig w:usb0="00000001" w:usb1="080E0000" w:usb2="00000010" w:usb3="00000000" w:csb0="00040000" w:csb1="00000000"/>
  </w:font>
  <w:font w:name="FangSong">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6559257"/>
      <w:docPartObj>
        <w:docPartGallery w:val="Page Numbers (Bottom of Page)"/>
        <w:docPartUnique/>
      </w:docPartObj>
    </w:sdtPr>
    <w:sdtEndPr>
      <w:rPr>
        <w:sz w:val="21"/>
        <w:szCs w:val="21"/>
      </w:rPr>
    </w:sdtEndPr>
    <w:sdtContent>
      <w:p w:rsidR="00056610" w:rsidRPr="00056610" w:rsidRDefault="00056610">
        <w:pPr>
          <w:pStyle w:val="a7"/>
          <w:jc w:val="center"/>
          <w:rPr>
            <w:sz w:val="21"/>
            <w:szCs w:val="21"/>
          </w:rPr>
        </w:pPr>
        <w:r w:rsidRPr="00056610">
          <w:rPr>
            <w:sz w:val="21"/>
            <w:szCs w:val="21"/>
          </w:rPr>
          <w:fldChar w:fldCharType="begin"/>
        </w:r>
        <w:r w:rsidRPr="00056610">
          <w:rPr>
            <w:sz w:val="21"/>
            <w:szCs w:val="21"/>
          </w:rPr>
          <w:instrText xml:space="preserve"> PAGE   \* MERGEFORMAT </w:instrText>
        </w:r>
        <w:r w:rsidRPr="00056610">
          <w:rPr>
            <w:sz w:val="21"/>
            <w:szCs w:val="21"/>
          </w:rPr>
          <w:fldChar w:fldCharType="separate"/>
        </w:r>
        <w:r w:rsidR="00922885" w:rsidRPr="00922885">
          <w:rPr>
            <w:noProof/>
            <w:sz w:val="21"/>
            <w:szCs w:val="21"/>
            <w:lang w:val="zh-CN"/>
          </w:rPr>
          <w:t>2</w:t>
        </w:r>
        <w:r w:rsidRPr="00056610">
          <w:rPr>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6C37" w:rsidRDefault="00B46C37" w:rsidP="00056610">
      <w:r>
        <w:separator/>
      </w:r>
    </w:p>
  </w:footnote>
  <w:footnote w:type="continuationSeparator" w:id="0">
    <w:p w:rsidR="00B46C37" w:rsidRDefault="00B46C37" w:rsidP="000566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552"/>
        </w:tabs>
        <w:ind w:left="55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1" w15:restartNumberingAfterBreak="0">
    <w:nsid w:val="00000002"/>
    <w:multiLevelType w:val="multilevel"/>
    <w:tmpl w:val="69CC134A"/>
    <w:lvl w:ilvl="0">
      <w:start w:val="1"/>
      <w:numFmt w:val="decimal"/>
      <w:suff w:val="nothing"/>
      <w:lvlText w:val="%1、"/>
      <w:lvlJc w:val="left"/>
      <w:pPr>
        <w:ind w:left="0" w:firstLine="283"/>
      </w:pPr>
      <w:rPr>
        <w:rFonts w:hint="eastAsia"/>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448B4990"/>
    <w:multiLevelType w:val="multilevel"/>
    <w:tmpl w:val="06E93DEA"/>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961785"/>
    <w:rsid w:val="00056610"/>
    <w:rsid w:val="001C5153"/>
    <w:rsid w:val="00922885"/>
    <w:rsid w:val="00961785"/>
    <w:rsid w:val="00972AE8"/>
    <w:rsid w:val="00987E7D"/>
    <w:rsid w:val="00B46C37"/>
    <w:rsid w:val="00C9680F"/>
    <w:rsid w:val="00E95C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A03E4D3-690C-44CE-A458-447D2A29C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1785"/>
    <w:pPr>
      <w:widowControl w:val="0"/>
      <w:jc w:val="both"/>
    </w:pPr>
    <w:rPr>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rsid w:val="00961785"/>
    <w:pPr>
      <w:jc w:val="left"/>
    </w:pPr>
  </w:style>
  <w:style w:type="paragraph" w:styleId="a5">
    <w:name w:val="Balloon Text"/>
    <w:basedOn w:val="a"/>
    <w:link w:val="a6"/>
    <w:qFormat/>
    <w:rsid w:val="00961785"/>
    <w:rPr>
      <w:sz w:val="18"/>
      <w:szCs w:val="18"/>
    </w:rPr>
  </w:style>
  <w:style w:type="paragraph" w:styleId="a7">
    <w:name w:val="footer"/>
    <w:basedOn w:val="a"/>
    <w:link w:val="a8"/>
    <w:uiPriority w:val="99"/>
    <w:qFormat/>
    <w:rsid w:val="00961785"/>
    <w:pPr>
      <w:tabs>
        <w:tab w:val="center" w:pos="4153"/>
        <w:tab w:val="right" w:pos="8306"/>
      </w:tabs>
      <w:snapToGrid w:val="0"/>
      <w:jc w:val="left"/>
    </w:pPr>
    <w:rPr>
      <w:sz w:val="18"/>
      <w:szCs w:val="18"/>
    </w:rPr>
  </w:style>
  <w:style w:type="paragraph" w:styleId="a9">
    <w:name w:val="header"/>
    <w:basedOn w:val="a"/>
    <w:link w:val="aa"/>
    <w:qFormat/>
    <w:rsid w:val="00961785"/>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qFormat/>
    <w:rsid w:val="00961785"/>
    <w:rPr>
      <w:b/>
      <w:bCs/>
    </w:rPr>
  </w:style>
  <w:style w:type="character" w:styleId="ad">
    <w:name w:val="annotation reference"/>
    <w:basedOn w:val="a0"/>
    <w:qFormat/>
    <w:rsid w:val="00961785"/>
    <w:rPr>
      <w:sz w:val="21"/>
      <w:szCs w:val="21"/>
    </w:rPr>
  </w:style>
  <w:style w:type="paragraph" w:customStyle="1" w:styleId="duanluo">
    <w:name w:val="duanluo"/>
    <w:basedOn w:val="a"/>
    <w:link w:val="duanluo0"/>
    <w:qFormat/>
    <w:rsid w:val="00961785"/>
    <w:pPr>
      <w:spacing w:line="360" w:lineRule="auto"/>
      <w:ind w:leftChars="41" w:left="41" w:rightChars="41" w:right="41" w:firstLineChars="200" w:firstLine="200"/>
    </w:pPr>
    <w:rPr>
      <w:rFonts w:eastAsia="楷体_GB2312"/>
      <w:kern w:val="2"/>
      <w:sz w:val="24"/>
      <w:szCs w:val="20"/>
    </w:rPr>
  </w:style>
  <w:style w:type="character" w:customStyle="1" w:styleId="fontstyle01">
    <w:name w:val="fontstyle01"/>
    <w:basedOn w:val="a0"/>
    <w:qFormat/>
    <w:rsid w:val="00961785"/>
    <w:rPr>
      <w:rFonts w:ascii="楷体_GB2312" w:eastAsia="楷体_GB2312" w:hint="eastAsia"/>
      <w:color w:val="000000"/>
      <w:sz w:val="24"/>
      <w:szCs w:val="24"/>
    </w:rPr>
  </w:style>
  <w:style w:type="character" w:customStyle="1" w:styleId="fontstyle21">
    <w:name w:val="fontstyle21"/>
    <w:basedOn w:val="a0"/>
    <w:qFormat/>
    <w:rsid w:val="00961785"/>
    <w:rPr>
      <w:rFonts w:ascii="Times New Roman" w:hAnsi="Times New Roman" w:cs="Times New Roman" w:hint="default"/>
      <w:color w:val="000000"/>
      <w:sz w:val="24"/>
      <w:szCs w:val="24"/>
    </w:rPr>
  </w:style>
  <w:style w:type="character" w:customStyle="1" w:styleId="duanluo0">
    <w:name w:val="duanluo 字符"/>
    <w:basedOn w:val="a0"/>
    <w:link w:val="duanluo"/>
    <w:qFormat/>
    <w:rsid w:val="00961785"/>
    <w:rPr>
      <w:rFonts w:ascii="Times New Roman" w:eastAsia="楷体_GB2312" w:hAnsi="Times New Roman"/>
      <w:kern w:val="2"/>
      <w:sz w:val="24"/>
      <w:szCs w:val="20"/>
    </w:rPr>
  </w:style>
  <w:style w:type="character" w:customStyle="1" w:styleId="a4">
    <w:name w:val="批注文字 字符"/>
    <w:basedOn w:val="a0"/>
    <w:link w:val="a3"/>
    <w:rsid w:val="00961785"/>
    <w:rPr>
      <w:sz w:val="21"/>
      <w:szCs w:val="22"/>
    </w:rPr>
  </w:style>
  <w:style w:type="character" w:customStyle="1" w:styleId="a6">
    <w:name w:val="批注框文本 字符"/>
    <w:basedOn w:val="a0"/>
    <w:link w:val="a5"/>
    <w:qFormat/>
    <w:rsid w:val="00961785"/>
    <w:rPr>
      <w:sz w:val="18"/>
      <w:szCs w:val="18"/>
    </w:rPr>
  </w:style>
  <w:style w:type="character" w:customStyle="1" w:styleId="ac">
    <w:name w:val="批注主题 字符"/>
    <w:basedOn w:val="a4"/>
    <w:link w:val="ab"/>
    <w:qFormat/>
    <w:rsid w:val="00961785"/>
    <w:rPr>
      <w:b/>
      <w:bCs/>
      <w:sz w:val="21"/>
      <w:szCs w:val="22"/>
    </w:rPr>
  </w:style>
  <w:style w:type="paragraph" w:customStyle="1" w:styleId="EndNoteBibliography">
    <w:name w:val="EndNote Bibliography"/>
    <w:basedOn w:val="a"/>
    <w:link w:val="EndNoteBibliographyChar"/>
    <w:qFormat/>
    <w:rsid w:val="00961785"/>
    <w:rPr>
      <w:rFonts w:ascii="Tahoma" w:eastAsia="楷体_GB2312" w:hAnsi="Tahoma" w:cs="Tahoma"/>
      <w:kern w:val="2"/>
      <w:sz w:val="22"/>
      <w:szCs w:val="24"/>
    </w:rPr>
  </w:style>
  <w:style w:type="character" w:customStyle="1" w:styleId="EndNoteBibliographyChar">
    <w:name w:val="EndNote Bibliography Char"/>
    <w:basedOn w:val="duanluo0"/>
    <w:link w:val="EndNoteBibliography"/>
    <w:qFormat/>
    <w:rsid w:val="00961785"/>
    <w:rPr>
      <w:rFonts w:ascii="Tahoma" w:eastAsia="楷体_GB2312" w:hAnsi="Tahoma" w:cs="Tahoma"/>
      <w:kern w:val="2"/>
      <w:sz w:val="22"/>
      <w:szCs w:val="24"/>
    </w:rPr>
  </w:style>
  <w:style w:type="paragraph" w:styleId="ae">
    <w:name w:val="List Paragraph"/>
    <w:basedOn w:val="a"/>
    <w:uiPriority w:val="99"/>
    <w:qFormat/>
    <w:rsid w:val="00961785"/>
    <w:pPr>
      <w:ind w:firstLineChars="200" w:firstLine="420"/>
    </w:pPr>
  </w:style>
  <w:style w:type="character" w:customStyle="1" w:styleId="aa">
    <w:name w:val="页眉 字符"/>
    <w:basedOn w:val="a0"/>
    <w:link w:val="a9"/>
    <w:qFormat/>
    <w:rsid w:val="00961785"/>
    <w:rPr>
      <w:sz w:val="18"/>
      <w:szCs w:val="18"/>
    </w:rPr>
  </w:style>
  <w:style w:type="character" w:customStyle="1" w:styleId="a8">
    <w:name w:val="页脚 字符"/>
    <w:basedOn w:val="a0"/>
    <w:link w:val="a7"/>
    <w:uiPriority w:val="99"/>
    <w:qFormat/>
    <w:rsid w:val="0096178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14</Pages>
  <Words>5145</Words>
  <Characters>29333</Characters>
  <Application>Microsoft Office Word</Application>
  <DocSecurity>0</DocSecurity>
  <Lines>244</Lines>
  <Paragraphs>68</Paragraphs>
  <ScaleCrop>false</ScaleCrop>
  <Company>微软中国</Company>
  <LinksUpToDate>false</LinksUpToDate>
  <CharactersWithSpaces>34410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dc:creator>
  <cp:lastModifiedBy>Administrator</cp:lastModifiedBy>
  <cp:revision>7</cp:revision>
  <cp:lastPrinted>2019-05-13T13:25:00Z</cp:lastPrinted>
  <dcterms:created xsi:type="dcterms:W3CDTF">2019-05-08T14:13:00Z</dcterms:created>
  <dcterms:modified xsi:type="dcterms:W3CDTF">2020-03-16T08:49:00Z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